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9" w:type="dxa"/>
        <w:shd w:val="clear" w:color="auto" w:fill="FFFFFF"/>
        <w:tblCellMar>
          <w:left w:w="0" w:type="dxa"/>
          <w:right w:w="0" w:type="dxa"/>
        </w:tblCellMar>
        <w:tblLook w:val="04A0"/>
      </w:tblPr>
      <w:tblGrid>
        <w:gridCol w:w="10179"/>
        <w:gridCol w:w="20"/>
      </w:tblGrid>
      <w:tr w:rsidR="00DF4F69" w:rsidRPr="00757D51" w:rsidTr="00DE34E6">
        <w:trPr>
          <w:trHeight w:val="13476"/>
        </w:trPr>
        <w:tc>
          <w:tcPr>
            <w:tcW w:w="0" w:type="auto"/>
            <w:shd w:val="clear" w:color="auto" w:fill="FFFFFF"/>
            <w:hideMark/>
          </w:tcPr>
          <w:p w:rsidR="00DF4F69" w:rsidRDefault="00DF4F69" w:rsidP="00DE34E6">
            <w:pPr>
              <w:spacing w:after="450" w:line="360" w:lineRule="auto"/>
              <w:rPr>
                <w:rFonts w:ascii="Verdana" w:eastAsia="Times New Roman" w:hAnsi="Verdana" w:cs="Times New Roman"/>
                <w:b/>
                <w:bCs/>
                <w:sz w:val="28"/>
                <w:szCs w:val="28"/>
                <w:lang w:eastAsia="tr-TR"/>
              </w:rPr>
            </w:pPr>
            <w:r w:rsidRPr="00485EFB">
              <w:rPr>
                <w:rFonts w:ascii="Verdana" w:eastAsia="Times New Roman" w:hAnsi="Verdana" w:cs="Times New Roman"/>
                <w:b/>
                <w:bCs/>
                <w:sz w:val="28"/>
                <w:szCs w:val="28"/>
                <w:lang w:eastAsia="tr-TR"/>
              </w:rPr>
              <w:t>TTB’NİN 2021 YILI SAĞLIK BÜTÇESİ ÜZERİNE GÖRÜŞÜ</w:t>
            </w:r>
          </w:p>
          <w:p w:rsidR="00485EFB" w:rsidRPr="00485EFB" w:rsidRDefault="0045275A" w:rsidP="00DE34E6">
            <w:pPr>
              <w:spacing w:after="450" w:line="360" w:lineRule="auto"/>
              <w:rPr>
                <w:rFonts w:ascii="Verdana" w:eastAsia="Times New Roman" w:hAnsi="Verdana" w:cs="Times New Roman"/>
                <w:b/>
                <w:sz w:val="28"/>
                <w:szCs w:val="28"/>
                <w:lang w:eastAsia="tr-TR"/>
              </w:rPr>
            </w:pPr>
            <w:r>
              <w:rPr>
                <w:rFonts w:ascii="Verdana" w:eastAsia="Times New Roman" w:hAnsi="Verdana" w:cs="Times New Roman"/>
                <w:b/>
                <w:sz w:val="28"/>
                <w:szCs w:val="28"/>
                <w:lang w:eastAsia="tr-TR"/>
              </w:rPr>
              <w:t xml:space="preserve">                                                                         16 Kasım 2020 </w:t>
            </w:r>
          </w:p>
          <w:p w:rsidR="00DF4F69" w:rsidRPr="00757D51" w:rsidRDefault="00DF4F69" w:rsidP="00DE34E6">
            <w:pPr>
              <w:spacing w:after="450" w:line="360" w:lineRule="auto"/>
              <w:rPr>
                <w:rFonts w:ascii="Verdana" w:eastAsia="Times New Roman" w:hAnsi="Verdana" w:cs="Times New Roman"/>
                <w:i/>
                <w:lang w:eastAsia="tr-TR"/>
              </w:rPr>
            </w:pPr>
            <w:r w:rsidRPr="00757D51">
              <w:rPr>
                <w:rFonts w:ascii="Verdana" w:eastAsia="Times New Roman" w:hAnsi="Verdana" w:cs="Times New Roman"/>
                <w:i/>
                <w:lang w:eastAsia="tr-TR"/>
              </w:rPr>
              <w:t>Türkiye Büyük Millet Meclisi’nde (TBMM) görüşülmekte olan 2021 yılı bütçesine yönelik Türk Tabipleri Birliği değerlendirmesini ana hatlarıyla kamuoyuna sunuyoruz.</w:t>
            </w:r>
          </w:p>
          <w:p w:rsidR="00DF4F69" w:rsidRPr="00485EFB" w:rsidRDefault="00DF4F69" w:rsidP="00DE34E6">
            <w:pPr>
              <w:spacing w:after="253" w:line="360" w:lineRule="auto"/>
              <w:textAlignment w:val="baseline"/>
              <w:rPr>
                <w:rFonts w:ascii="Verdana" w:eastAsia="Times New Roman" w:hAnsi="Verdana" w:cs="Times New Roman"/>
                <w:b/>
                <w:sz w:val="24"/>
                <w:szCs w:val="24"/>
                <w:lang w:eastAsia="tr-TR"/>
              </w:rPr>
            </w:pPr>
            <w:r w:rsidRPr="00485EFB">
              <w:rPr>
                <w:rFonts w:ascii="Verdana" w:eastAsia="Times New Roman" w:hAnsi="Verdana" w:cs="Times New Roman"/>
                <w:b/>
                <w:sz w:val="24"/>
                <w:szCs w:val="24"/>
                <w:lang w:eastAsia="tr-TR"/>
              </w:rPr>
              <w:t>Genel Durum Değerlendirmesi</w:t>
            </w:r>
          </w:p>
          <w:p w:rsidR="00DF4F69" w:rsidRPr="00757D51" w:rsidRDefault="00DF4F69" w:rsidP="00DE34E6">
            <w:pPr>
              <w:spacing w:after="253" w:line="360" w:lineRule="auto"/>
              <w:textAlignment w:val="baseline"/>
              <w:rPr>
                <w:rFonts w:ascii="Verdana" w:eastAsia="Times New Roman" w:hAnsi="Verdana" w:cs="Times New Roman"/>
                <w:lang w:eastAsia="tr-TR"/>
              </w:rPr>
            </w:pPr>
            <w:r w:rsidRPr="00757D51">
              <w:rPr>
                <w:rFonts w:ascii="Verdana" w:eastAsia="Times New Roman" w:hAnsi="Verdana" w:cs="Times New Roman"/>
                <w:lang w:eastAsia="tr-TR"/>
              </w:rPr>
              <w:t xml:space="preserve">2019 yılından itibaren Merkezi Yönetim Bütçe Yasası’nın uygulanmasına yönelik yetkiler tek elde toplanmış Cumhurbaşkanı tarafından kullanılmaya başlanmıştır. Nitekim </w:t>
            </w:r>
            <w:r w:rsidRPr="00757D51">
              <w:rPr>
                <w:rFonts w:ascii="Verdana" w:hAnsi="Verdana" w:cs="Times New Roman"/>
              </w:rPr>
              <w:t>bu yıl Meclise getirilen 2021 Yılı Merkezi Yönetim Bütçe Kanunu Teklifi Anayasanın ilgili maddelerine aykırı bir biçimde; Meclis’e sunulması geciktirilmiş, önümüzdeki yıl ilk kez uygulanacak olan Performans Esaslı Program Bütçe, kamu idarelerinin hazırlık yapmasına fırsat verilmeden, Meclis’e sunulmasından sadece</w:t>
            </w:r>
            <w:r w:rsidR="00441796">
              <w:rPr>
                <w:rFonts w:ascii="Verdana" w:hAnsi="Verdana" w:cs="Times New Roman"/>
              </w:rPr>
              <w:t xml:space="preserve"> </w:t>
            </w:r>
            <w:r w:rsidRPr="00757D51">
              <w:rPr>
                <w:rFonts w:ascii="Verdana" w:hAnsi="Verdana" w:cs="Times New Roman"/>
              </w:rPr>
              <w:t xml:space="preserve">1 hafta önce bu kurumlara ve ilgili bakanlıklara gönderilmiştir. Bu durum bütçenin yerelden katılımcı bir bütçe olarak hazırlanmasının önüne geçmekte ve anayasal kurallar çiğnenerek devletin kendi kurumlarını dışladığı sadece Cumhurbaşkanlığının oluşturduğu bir ekip tarafından hazırlanıp dayatılan bir bütçedir. </w:t>
            </w:r>
            <w:r w:rsidRPr="00757D51">
              <w:rPr>
                <w:rFonts w:ascii="Verdana" w:eastAsia="Times New Roman" w:hAnsi="Verdana" w:cs="Times New Roman"/>
                <w:lang w:eastAsia="tr-TR"/>
              </w:rPr>
              <w:t xml:space="preserve"> </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lang w:eastAsia="tr-TR"/>
              </w:rPr>
              <w:t xml:space="preserve">Bütçe yasası diğer yasalardan farklı olarak kaynağın nasıl oluşturulacağı ve kullanılacağının, gelirin büyüklüğüne göre hakkaniyetle kimlerden alınıp, kimlere ve ne için verileceğinin bir göstergesidir. Bütçe gelirlerinin büyük bölümünün zenginlik, kâr, </w:t>
            </w:r>
            <w:proofErr w:type="gramStart"/>
            <w:r w:rsidRPr="00757D51">
              <w:rPr>
                <w:rFonts w:ascii="Verdana" w:eastAsia="Times New Roman" w:hAnsi="Verdana" w:cs="Times New Roman"/>
                <w:lang w:eastAsia="tr-TR"/>
              </w:rPr>
              <w:t>rant</w:t>
            </w:r>
            <w:proofErr w:type="gramEnd"/>
            <w:r w:rsidRPr="00757D51">
              <w:rPr>
                <w:rFonts w:ascii="Verdana" w:eastAsia="Times New Roman" w:hAnsi="Verdana" w:cs="Times New Roman"/>
                <w:lang w:eastAsia="tr-TR"/>
              </w:rPr>
              <w:t xml:space="preserve"> ve faizden alınan vergilerle mi, yoksa, yaşayabilmek için çalışmak zorunda olanların (işçilerin, emekçilerin, köylülerin, esnafın, yoksulların, işsizlerin) hem gelirlerinden alınan doğrudan vergilerle hem de harcamalar sırasında ikinci defa vergilendirilmeye dayanan dolaylı vergilerle mi oluşturulduğu, bütçenin adaleti hakkındaki en önemli parametredir. Her geçen yıl bütçedeki adaletsizlik, sosyal-ekonomik-kültürel dengesizliği de arttırmaktadır. Sosyal devletin birinci görevi bu eşitsizlikleri ve adaletsizlikleri ortadan kaldırmaya yönelik bütçe oluşturmaktır. </w:t>
            </w:r>
          </w:p>
          <w:p w:rsidR="00DF4F69" w:rsidRPr="00485EFB" w:rsidRDefault="00DF4F69" w:rsidP="00DE34E6">
            <w:pPr>
              <w:spacing w:after="450" w:line="360" w:lineRule="auto"/>
              <w:rPr>
                <w:rFonts w:ascii="Verdana" w:eastAsia="Times New Roman" w:hAnsi="Verdana" w:cs="Times New Roman"/>
                <w:b/>
                <w:i/>
                <w:lang w:eastAsia="tr-TR"/>
              </w:rPr>
            </w:pPr>
            <w:r w:rsidRPr="00485EFB">
              <w:rPr>
                <w:rFonts w:ascii="Verdana" w:eastAsia="Times New Roman" w:hAnsi="Verdana" w:cs="Times New Roman"/>
                <w:b/>
                <w:i/>
                <w:lang w:eastAsia="tr-TR"/>
              </w:rPr>
              <w:t xml:space="preserve">Ancak 2020 yılı özellikle sağlık alanında diğer yıllardan önemli oranda farklılık arz etmektedir. Son çalışmalara da yansıdığı üzere Covid19 </w:t>
            </w:r>
            <w:proofErr w:type="spellStart"/>
            <w:r w:rsidRPr="00485EFB">
              <w:rPr>
                <w:rFonts w:ascii="Verdana" w:eastAsia="Times New Roman" w:hAnsi="Verdana" w:cs="Times New Roman"/>
                <w:b/>
                <w:i/>
                <w:lang w:eastAsia="tr-TR"/>
              </w:rPr>
              <w:t>pandemisi</w:t>
            </w:r>
            <w:proofErr w:type="spellEnd"/>
            <w:r w:rsidRPr="00485EFB">
              <w:rPr>
                <w:rFonts w:ascii="Verdana" w:eastAsia="Times New Roman" w:hAnsi="Verdana" w:cs="Times New Roman"/>
                <w:b/>
                <w:i/>
                <w:lang w:eastAsia="tr-TR"/>
              </w:rPr>
              <w:t xml:space="preserve"> tüm dünyada yoksul, işçi veya işsiz, emekçi, geliri düşük insanları çok daha fazla etkilemiştir. </w:t>
            </w:r>
            <w:r w:rsidRPr="00485EFB">
              <w:rPr>
                <w:rFonts w:ascii="Verdana" w:hAnsi="Verdana" w:cs="Times New Roman"/>
                <w:b/>
                <w:i/>
              </w:rPr>
              <w:t xml:space="preserve">Ülkemizde de başta işçiler olmak üzere düşük gelirli emekçi kesimler sağlıksız </w:t>
            </w:r>
            <w:r w:rsidRPr="00485EFB">
              <w:rPr>
                <w:rFonts w:ascii="Verdana" w:hAnsi="Verdana" w:cs="Times New Roman"/>
                <w:b/>
                <w:i/>
              </w:rPr>
              <w:lastRenderedPageBreak/>
              <w:t xml:space="preserve">koşullarda, uzun saatler, yoksulluk ve açlık ücreti düzeyinde çalışmak zorunda kalmakta, yüksek enflasyon yüzünden gıda güvenliği olmadan, eksik beslenme, kötü barınma koşullarıyla birlikte daha sık ve kolay </w:t>
            </w:r>
            <w:r w:rsidR="00A00573">
              <w:rPr>
                <w:rFonts w:ascii="Verdana" w:hAnsi="Verdana" w:cs="Times New Roman"/>
                <w:b/>
                <w:i/>
              </w:rPr>
              <w:t xml:space="preserve">hastalanmakta, haliyle </w:t>
            </w:r>
            <w:proofErr w:type="spellStart"/>
            <w:r w:rsidR="00A00573">
              <w:rPr>
                <w:rFonts w:ascii="Verdana" w:hAnsi="Verdana" w:cs="Times New Roman"/>
                <w:b/>
                <w:i/>
              </w:rPr>
              <w:t>pandemiden</w:t>
            </w:r>
            <w:proofErr w:type="spellEnd"/>
            <w:r w:rsidRPr="00485EFB">
              <w:rPr>
                <w:rFonts w:ascii="Verdana" w:hAnsi="Verdana" w:cs="Times New Roman"/>
                <w:b/>
                <w:i/>
              </w:rPr>
              <w:t xml:space="preserve"> öncelikli etkilenmektedir. Toplum sağlığı</w:t>
            </w:r>
            <w:r w:rsidR="00441796" w:rsidRPr="00485EFB">
              <w:rPr>
                <w:rFonts w:ascii="Verdana" w:hAnsi="Verdana" w:cs="Times New Roman"/>
                <w:b/>
                <w:i/>
              </w:rPr>
              <w:t>,</w:t>
            </w:r>
            <w:r w:rsidRPr="00485EFB">
              <w:rPr>
                <w:rFonts w:ascii="Verdana" w:hAnsi="Verdana" w:cs="Times New Roman"/>
                <w:b/>
                <w:i/>
              </w:rPr>
              <w:t xml:space="preserve"> Sağlık Bakanlığı’nın öncelikli görevidir, bütçeden yeterli kaynak ayırmanın yanında insanların refah düzeyi artırmak ta diğer bakanlıkların sorumluluğundadır. </w:t>
            </w:r>
            <w:proofErr w:type="spellStart"/>
            <w:r w:rsidRPr="00485EFB">
              <w:rPr>
                <w:rFonts w:ascii="Verdana" w:eastAsia="Times New Roman" w:hAnsi="Verdana" w:cs="Times New Roman"/>
                <w:b/>
                <w:i/>
                <w:lang w:eastAsia="tr-TR"/>
              </w:rPr>
              <w:t>Pandemi</w:t>
            </w:r>
            <w:proofErr w:type="spellEnd"/>
            <w:r w:rsidRPr="00485EFB">
              <w:rPr>
                <w:rFonts w:ascii="Verdana" w:eastAsia="Times New Roman" w:hAnsi="Verdana" w:cs="Times New Roman"/>
                <w:b/>
                <w:i/>
                <w:lang w:eastAsia="tr-TR"/>
              </w:rPr>
              <w:t xml:space="preserve"> ancak koruyucu ve kamusal bir sağlık politikası ile önlenebilir. Bu nedenle 2021 yılı bütçesinin veya en azından Sağlık Bakanlığı bütçesinin önceki yıllardan farklı olarak </w:t>
            </w:r>
            <w:proofErr w:type="spellStart"/>
            <w:r w:rsidRPr="00485EFB">
              <w:rPr>
                <w:rFonts w:ascii="Verdana" w:eastAsia="Times New Roman" w:hAnsi="Verdana" w:cs="Times New Roman"/>
                <w:b/>
                <w:i/>
                <w:lang w:eastAsia="tr-TR"/>
              </w:rPr>
              <w:t>pandemi</w:t>
            </w:r>
            <w:proofErr w:type="spellEnd"/>
            <w:r w:rsidRPr="00485EFB">
              <w:rPr>
                <w:rFonts w:ascii="Verdana" w:eastAsia="Times New Roman" w:hAnsi="Verdana" w:cs="Times New Roman"/>
                <w:b/>
                <w:i/>
                <w:lang w:eastAsia="tr-TR"/>
              </w:rPr>
              <w:t xml:space="preserve"> koşullarına göre düzenlenmesi gerekirdi. </w:t>
            </w:r>
          </w:p>
          <w:p w:rsidR="00DF4F69" w:rsidRPr="00485EFB" w:rsidRDefault="00DF4F69" w:rsidP="00DE34E6">
            <w:pPr>
              <w:spacing w:after="450" w:line="360" w:lineRule="auto"/>
              <w:rPr>
                <w:rFonts w:ascii="Verdana" w:eastAsia="Times New Roman" w:hAnsi="Verdana" w:cs="Times New Roman"/>
                <w:b/>
                <w:sz w:val="24"/>
                <w:szCs w:val="24"/>
                <w:lang w:eastAsia="tr-TR"/>
              </w:rPr>
            </w:pPr>
            <w:r w:rsidRPr="00485EFB">
              <w:rPr>
                <w:rFonts w:ascii="Verdana" w:eastAsia="Times New Roman" w:hAnsi="Verdana" w:cs="Times New Roman"/>
                <w:b/>
                <w:bCs/>
                <w:sz w:val="24"/>
                <w:szCs w:val="24"/>
                <w:lang w:eastAsia="tr-TR"/>
              </w:rPr>
              <w:t>Bütçe Döviz Bazında Azalmıştır</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lang w:eastAsia="tr-TR"/>
              </w:rPr>
              <w:t xml:space="preserve">2021 yılı için merkezi yönetim bütçesi 1trilyon 346 milyar 100 milyon TL olarak açıklanmıştır. 2021 yılı bütçesi, 2020 yılı için merkezi yönetim bütçesi olarak açıklanmış olan 1 trilyon 095 milyar 500 milyon TL’den %23 daha fazladır.  Ancak 1 Kasım 2019 tarihli kura göre, 2020 yılı merkezi yönetim bütçesi toplamı 191 milyar 561 milyon 166 milyon ABD doları iken, 1 Kasım 2020 tarihli kura göre 2021 yılı merkezi yönetim bütçesi toplamı 159 milyar 226 milyon 401 bin ABD dolardır. Dolar bazında 2021 yılı merkezi yönetim bütçesi 2020 yılına göre 32 milyar 334 milyon 765 bin dolar yani % 17 daha azdır. Dövizdeki bu hızlı artış göz önüne alınırsa bütçenin genelinde açığın çok daha fazla olması kaçınılmazdır.  </w:t>
            </w:r>
          </w:p>
          <w:p w:rsidR="00DF4F69" w:rsidRPr="0045275A" w:rsidRDefault="00DF4F69" w:rsidP="00DE34E6">
            <w:pPr>
              <w:spacing w:after="450" w:line="360" w:lineRule="auto"/>
              <w:rPr>
                <w:rFonts w:ascii="Verdana" w:eastAsia="Times New Roman" w:hAnsi="Verdana" w:cs="Times New Roman"/>
                <w:b/>
                <w:sz w:val="24"/>
                <w:szCs w:val="24"/>
                <w:lang w:eastAsia="tr-TR"/>
              </w:rPr>
            </w:pPr>
            <w:r w:rsidRPr="0045275A">
              <w:rPr>
                <w:rFonts w:ascii="Verdana" w:eastAsia="Times New Roman" w:hAnsi="Verdana" w:cs="Times New Roman"/>
                <w:b/>
                <w:bCs/>
                <w:sz w:val="24"/>
                <w:szCs w:val="24"/>
                <w:lang w:eastAsia="tr-TR"/>
              </w:rPr>
              <w:t xml:space="preserve">Vergi sistemi adaletsizliği giderek arttırmaktadır. </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lang w:eastAsia="tr-TR"/>
              </w:rPr>
              <w:t>Türkiye’de vergi sistemi son yıllarda çalışanlar aleyhine giderek daha adaletsiz bir hal almaktadır. Türkiye’de 1999 yılı itibariyle sermayedarların kâr-sermaye birikimlerinin yüzde 46’sını gelir-kurumlar vergisi olarak devlete ödemeleri istenirken, AKP hükümetleri döneminde kurumlar vergisi yüzde 22’ye düşürülmüştür. Gelir ve kazanç vergileri içinde kurumlar vergisinin oranı 2011’de %</w:t>
            </w:r>
            <w:proofErr w:type="gramStart"/>
            <w:r w:rsidRPr="00757D51">
              <w:rPr>
                <w:rFonts w:ascii="Verdana" w:eastAsia="Times New Roman" w:hAnsi="Verdana" w:cs="Times New Roman"/>
                <w:lang w:eastAsia="tr-TR"/>
              </w:rPr>
              <w:t>36.4’ken</w:t>
            </w:r>
            <w:proofErr w:type="gramEnd"/>
            <w:r w:rsidRPr="00757D51">
              <w:rPr>
                <w:rFonts w:ascii="Verdana" w:eastAsia="Times New Roman" w:hAnsi="Verdana" w:cs="Times New Roman"/>
                <w:lang w:eastAsia="tr-TR"/>
              </w:rPr>
              <w:t xml:space="preserve">, 2017’de %33.3’e inmiş, buna karşılık maaş ve ücretlerden kesilen vergilerin oranı %63.6’dan %66.7’ye çıkmıştır. Ayrıca geniş halk kesimlerinden alınan KDV, ÖTV vb. dolaylı vergilerin (vergisi ödenmiş ücret ve maaşların yeniden vergilendirilmesi) oranı da giderek artmaktadır. Bu tutar ilk düzenlemelerin yapıldığı 1986 yılında harcama ederinin %10’u iken, 2005 yılından itibaren %18’e yükseltilmiştir. Genel vergi gelirleri içinde dolaylı vergiler ile gelir vergilerinin payı 2017’de </w:t>
            </w:r>
            <w:r w:rsidRPr="00757D51">
              <w:rPr>
                <w:rFonts w:ascii="Verdana" w:eastAsia="Times New Roman" w:hAnsi="Verdana" w:cs="Times New Roman"/>
                <w:lang w:eastAsia="tr-TR"/>
              </w:rPr>
              <w:lastRenderedPageBreak/>
              <w:t>%</w:t>
            </w:r>
            <w:proofErr w:type="gramStart"/>
            <w:r w:rsidRPr="00757D51">
              <w:rPr>
                <w:rFonts w:ascii="Verdana" w:eastAsia="Times New Roman" w:hAnsi="Verdana" w:cs="Times New Roman"/>
                <w:lang w:eastAsia="tr-TR"/>
              </w:rPr>
              <w:t>63.6’yı</w:t>
            </w:r>
            <w:proofErr w:type="gramEnd"/>
            <w:r w:rsidRPr="00757D51">
              <w:rPr>
                <w:rFonts w:ascii="Verdana" w:eastAsia="Times New Roman" w:hAnsi="Verdana" w:cs="Times New Roman"/>
                <w:lang w:eastAsia="tr-TR"/>
              </w:rPr>
              <w:t xml:space="preserve"> bulmuştur. </w:t>
            </w:r>
          </w:p>
          <w:p w:rsidR="00DF4F69" w:rsidRPr="00485EFB" w:rsidRDefault="00DF4F69" w:rsidP="00DE34E6">
            <w:pPr>
              <w:spacing w:after="450" w:line="360" w:lineRule="auto"/>
              <w:rPr>
                <w:rFonts w:ascii="Verdana" w:eastAsia="Times New Roman" w:hAnsi="Verdana" w:cs="Times New Roman"/>
                <w:b/>
                <w:i/>
                <w:lang w:eastAsia="tr-TR"/>
              </w:rPr>
            </w:pPr>
            <w:r w:rsidRPr="00757D51">
              <w:rPr>
                <w:rFonts w:ascii="Verdana" w:eastAsia="Times New Roman" w:hAnsi="Verdana" w:cs="Times New Roman"/>
                <w:lang w:eastAsia="tr-TR"/>
              </w:rPr>
              <w:t xml:space="preserve">Vergi yükü 2021 yılı bütçesinde gelir grupları arasında daha da hakkaniyetsizce paylaştırılmıştır. Doğrudan vergilerin toplam gelir içerisindeki payını hesaplayıp, bir önceki yılın bütçesiyle kıyasladığımızda, </w:t>
            </w:r>
            <w:r w:rsidRPr="00485EFB">
              <w:rPr>
                <w:rFonts w:ascii="Verdana" w:eastAsia="Times New Roman" w:hAnsi="Verdana" w:cs="Times New Roman"/>
                <w:b/>
                <w:i/>
                <w:lang w:eastAsia="tr-TR"/>
              </w:rPr>
              <w:t xml:space="preserve">2021’de dar ve orta gelirli grupların bütçe yükündeki paylarının arttığını söyleyebiliriz. Bu durum düzeltilmediği takdirde </w:t>
            </w:r>
            <w:proofErr w:type="spellStart"/>
            <w:r w:rsidRPr="00485EFB">
              <w:rPr>
                <w:rFonts w:ascii="Verdana" w:eastAsia="Times New Roman" w:hAnsi="Verdana" w:cs="Times New Roman"/>
                <w:b/>
                <w:i/>
                <w:lang w:eastAsia="tr-TR"/>
              </w:rPr>
              <w:t>pandeminin</w:t>
            </w:r>
            <w:proofErr w:type="spellEnd"/>
            <w:r w:rsidRPr="00485EFB">
              <w:rPr>
                <w:rFonts w:ascii="Verdana" w:eastAsia="Times New Roman" w:hAnsi="Verdana" w:cs="Times New Roman"/>
                <w:b/>
                <w:i/>
                <w:lang w:eastAsia="tr-TR"/>
              </w:rPr>
              <w:t xml:space="preserve"> kötü etkileri ekonomik düzeyi düşük kesimler tarafından daha da ağır yaşanacaktır. </w:t>
            </w:r>
          </w:p>
          <w:p w:rsidR="00DF4F69" w:rsidRPr="00757D51" w:rsidRDefault="00DF4F69" w:rsidP="00DE34E6">
            <w:pPr>
              <w:shd w:val="clear" w:color="auto" w:fill="FFFFFF"/>
              <w:spacing w:after="315" w:line="360" w:lineRule="auto"/>
              <w:rPr>
                <w:rFonts w:ascii="Verdana" w:hAnsi="Verdana" w:cs="Times New Roman"/>
                <w:shd w:val="clear" w:color="auto" w:fill="FFFFFF"/>
              </w:rPr>
            </w:pPr>
            <w:r w:rsidRPr="00757D51">
              <w:rPr>
                <w:rFonts w:ascii="Verdana" w:eastAsia="Times New Roman" w:hAnsi="Verdana" w:cs="Times New Roman"/>
                <w:lang w:eastAsia="tr-TR"/>
              </w:rPr>
              <w:t xml:space="preserve">Hazine yardımları ve gelirden ayrılan pay hariç tutulduğunda, 2021 yılı Merkezi Yönetim Bütçesi teklifi 1trilyon 346 milyar 100 milyon TL’dir. Bütçenin yaklaşık yarısı (527,9 milyar TL) Hazine ve Maliye Bakanlığına ayrılırken, Milli Savunma Bakanlığına 61,5 milyar TL,  Milli Eğitim Bakanlığına </w:t>
            </w:r>
            <w:proofErr w:type="gramStart"/>
            <w:r w:rsidRPr="00757D51">
              <w:rPr>
                <w:rFonts w:ascii="Verdana" w:eastAsia="Times New Roman" w:hAnsi="Verdana" w:cs="Times New Roman"/>
                <w:lang w:eastAsia="tr-TR"/>
              </w:rPr>
              <w:t>146.9</w:t>
            </w:r>
            <w:proofErr w:type="gramEnd"/>
            <w:r w:rsidRPr="00757D51">
              <w:rPr>
                <w:rFonts w:ascii="Verdana" w:eastAsia="Times New Roman" w:hAnsi="Verdana" w:cs="Times New Roman"/>
                <w:lang w:eastAsia="tr-TR"/>
              </w:rPr>
              <w:t xml:space="preserve"> milyar TL,  Aile, Çalışma ve Sosyal Hizmetler Bakanlığına 155 milyar TL ayrılması planlanmıştır. </w:t>
            </w:r>
            <w:r w:rsidRPr="00757D51">
              <w:rPr>
                <w:rFonts w:ascii="Verdana" w:hAnsi="Verdana" w:cs="Times New Roman"/>
                <w:shd w:val="clear" w:color="auto" w:fill="FFFFFF"/>
              </w:rPr>
              <w:t xml:space="preserve">Diyanet İşleri Başkanlığı’nın bütçesi </w:t>
            </w:r>
            <w:proofErr w:type="gramStart"/>
            <w:r w:rsidRPr="00757D51">
              <w:rPr>
                <w:rFonts w:ascii="Verdana" w:hAnsi="Verdana" w:cs="Times New Roman"/>
                <w:shd w:val="clear" w:color="auto" w:fill="FFFFFF"/>
              </w:rPr>
              <w:t>12.9</w:t>
            </w:r>
            <w:proofErr w:type="gramEnd"/>
            <w:r w:rsidRPr="00757D51">
              <w:rPr>
                <w:rFonts w:ascii="Verdana" w:hAnsi="Verdana" w:cs="Times New Roman"/>
                <w:shd w:val="clear" w:color="auto" w:fill="FFFFFF"/>
              </w:rPr>
              <w:t xml:space="preserve"> milyar lira ile 7 bakanlık ve bir çok başkanlıktan daha fazla kaynak ayrılan bir başkanlık olmuştur.  </w:t>
            </w:r>
            <w:r w:rsidRPr="00757D51">
              <w:rPr>
                <w:rFonts w:ascii="Verdana" w:eastAsia="Times New Roman" w:hAnsi="Verdana" w:cs="Times New Roman"/>
                <w:bCs/>
                <w:lang w:eastAsia="tr-TR"/>
              </w:rPr>
              <w:t xml:space="preserve">2021 bütçesi diğer yıllarda olduğu gibi </w:t>
            </w:r>
            <w:r w:rsidRPr="00757D51">
              <w:rPr>
                <w:rFonts w:ascii="Verdana" w:hAnsi="Verdana" w:cs="Times New Roman"/>
              </w:rPr>
              <w:t xml:space="preserve">sermayeye kaynak aktaran bir sistem olduğu için </w:t>
            </w:r>
            <w:r w:rsidRPr="00757D51">
              <w:rPr>
                <w:rFonts w:ascii="Verdana" w:eastAsia="Times New Roman" w:hAnsi="Verdana" w:cs="Times New Roman"/>
                <w:bCs/>
                <w:lang w:eastAsia="tr-TR"/>
              </w:rPr>
              <w:t>sağlığa ayrılan pay yetersizdir.</w:t>
            </w:r>
          </w:p>
          <w:p w:rsidR="00DF4F69" w:rsidRPr="00485EFB" w:rsidRDefault="00DF4F69" w:rsidP="00DE34E6">
            <w:pPr>
              <w:spacing w:before="100" w:beforeAutospacing="1" w:after="100" w:afterAutospacing="1" w:line="360" w:lineRule="auto"/>
              <w:rPr>
                <w:rFonts w:ascii="Verdana" w:eastAsia="Times New Roman" w:hAnsi="Verdana" w:cs="Times New Roman"/>
                <w:b/>
                <w:i/>
                <w:lang w:eastAsia="tr-TR"/>
              </w:rPr>
            </w:pPr>
            <w:r w:rsidRPr="00485EFB">
              <w:rPr>
                <w:rFonts w:ascii="Verdana" w:eastAsia="Times New Roman" w:hAnsi="Verdana" w:cs="Times New Roman"/>
                <w:b/>
                <w:i/>
                <w:lang w:eastAsia="tr-TR"/>
              </w:rPr>
              <w:t xml:space="preserve">Sağlık Bakanlığı bütçesi </w:t>
            </w:r>
            <w:proofErr w:type="spellStart"/>
            <w:r w:rsidRPr="00485EFB">
              <w:rPr>
                <w:rFonts w:ascii="Verdana" w:eastAsia="Times New Roman" w:hAnsi="Verdana" w:cs="Times New Roman"/>
                <w:b/>
                <w:i/>
                <w:lang w:eastAsia="tr-TR"/>
              </w:rPr>
              <w:t>pandemi</w:t>
            </w:r>
            <w:proofErr w:type="spellEnd"/>
            <w:r w:rsidRPr="00485EFB">
              <w:rPr>
                <w:rFonts w:ascii="Verdana" w:eastAsia="Times New Roman" w:hAnsi="Verdana" w:cs="Times New Roman"/>
                <w:b/>
                <w:i/>
                <w:lang w:eastAsia="tr-TR"/>
              </w:rPr>
              <w:t xml:space="preserve"> koşullarına rağmen geçen yıla göre sadece yüzde 32 artış göstermiştir. Sağlık Bakanlığı için 2020 yılında 58 milyar 875 milyon lira ödenek ayrılırken, 2021 yılı bütçesi 77 milyar 615 milyon lira olacaktır. </w:t>
            </w:r>
            <w:r w:rsidRPr="00485EFB">
              <w:rPr>
                <w:rFonts w:ascii="Verdana" w:hAnsi="Verdana" w:cs="Times New Roman"/>
                <w:b/>
                <w:i/>
              </w:rPr>
              <w:t xml:space="preserve">Bu, görünürde yaklaşık yüzde 32’lik bir artış olmasına rağmen enflasyondan arındırıldığında bu yüzde 28’in altında kalmaktadır. </w:t>
            </w:r>
            <w:r w:rsidRPr="00485EFB">
              <w:rPr>
                <w:rFonts w:ascii="Verdana" w:eastAsia="Times New Roman" w:hAnsi="Verdana" w:cs="Times New Roman"/>
                <w:b/>
                <w:i/>
                <w:lang w:eastAsia="tr-TR"/>
              </w:rPr>
              <w:t>2021 yılı Merkezi Yönetim Bütçesi teklifinde Sağlık Bakanlığının oranı en az %10’unun üzerine çıkarılması gerekirken bu oran %</w:t>
            </w:r>
            <w:proofErr w:type="gramStart"/>
            <w:r w:rsidRPr="00485EFB">
              <w:rPr>
                <w:rFonts w:ascii="Verdana" w:eastAsia="Times New Roman" w:hAnsi="Verdana" w:cs="Times New Roman"/>
                <w:b/>
                <w:i/>
                <w:lang w:eastAsia="tr-TR"/>
              </w:rPr>
              <w:t>5.7</w:t>
            </w:r>
            <w:proofErr w:type="gramEnd"/>
            <w:r w:rsidRPr="00485EFB">
              <w:rPr>
                <w:rFonts w:ascii="Verdana" w:eastAsia="Times New Roman" w:hAnsi="Verdana" w:cs="Times New Roman"/>
                <w:b/>
                <w:i/>
                <w:lang w:eastAsia="tr-TR"/>
              </w:rPr>
              <w:t xml:space="preserve"> oranında kalmıştır. </w:t>
            </w:r>
          </w:p>
          <w:p w:rsidR="00DF4F69" w:rsidRPr="0045275A" w:rsidRDefault="00DF4F69" w:rsidP="00DE34E6">
            <w:pPr>
              <w:spacing w:before="100" w:beforeAutospacing="1" w:after="100" w:afterAutospacing="1" w:line="360" w:lineRule="auto"/>
              <w:rPr>
                <w:rFonts w:ascii="Verdana" w:eastAsia="Times New Roman" w:hAnsi="Verdana" w:cs="Times New Roman"/>
                <w:b/>
                <w:sz w:val="24"/>
                <w:szCs w:val="24"/>
                <w:lang w:eastAsia="tr-TR"/>
              </w:rPr>
            </w:pPr>
            <w:r w:rsidRPr="0045275A">
              <w:rPr>
                <w:rFonts w:ascii="Verdana" w:eastAsia="Times New Roman" w:hAnsi="Verdana" w:cs="Times New Roman"/>
                <w:b/>
                <w:sz w:val="24"/>
                <w:szCs w:val="24"/>
                <w:lang w:eastAsia="tr-TR"/>
              </w:rPr>
              <w:t>SAĞLIK BAKANLIĞI 2021 YILI BÜTÇE TEKLİFİ</w:t>
            </w:r>
          </w:p>
          <w:p w:rsidR="00DF4F69" w:rsidRPr="00BB0C8F" w:rsidRDefault="00DF4F69" w:rsidP="00DE34E6">
            <w:pPr>
              <w:spacing w:before="100" w:beforeAutospacing="1" w:after="100" w:afterAutospacing="1" w:line="360" w:lineRule="auto"/>
              <w:rPr>
                <w:rFonts w:ascii="Verdana" w:eastAsia="Times New Roman" w:hAnsi="Verdana" w:cs="Times New Roman"/>
                <w:b/>
                <w:sz w:val="24"/>
                <w:szCs w:val="24"/>
                <w:lang w:eastAsia="tr-TR"/>
              </w:rPr>
            </w:pPr>
            <w:r w:rsidRPr="00BB0C8F">
              <w:rPr>
                <w:rFonts w:ascii="Verdana" w:eastAsia="Times New Roman" w:hAnsi="Verdana" w:cs="Times New Roman"/>
                <w:b/>
                <w:sz w:val="24"/>
                <w:szCs w:val="24"/>
                <w:lang w:eastAsia="tr-TR"/>
              </w:rPr>
              <w:t>A-Program ve Ekonomik Sınıflandırma Düzeyinde Bütçe Teklif ve Tahminleri</w:t>
            </w:r>
          </w:p>
          <w:p w:rsidR="00DF4F69" w:rsidRPr="00757D51" w:rsidRDefault="00DF4F69" w:rsidP="00DE34E6">
            <w:pPr>
              <w:spacing w:before="100" w:beforeAutospacing="1" w:after="100" w:afterAutospacing="1" w:line="360" w:lineRule="auto"/>
              <w:rPr>
                <w:rFonts w:ascii="Verdana" w:eastAsia="Times New Roman" w:hAnsi="Verdana" w:cs="Times New Roman"/>
                <w:b/>
                <w:i/>
                <w:lang w:eastAsia="tr-TR"/>
              </w:rPr>
            </w:pPr>
            <w:r w:rsidRPr="00757D51">
              <w:rPr>
                <w:rFonts w:ascii="Verdana" w:eastAsia="Times New Roman" w:hAnsi="Verdana" w:cs="Times New Roman"/>
                <w:lang w:eastAsia="tr-TR"/>
              </w:rPr>
              <w:t xml:space="preserve">Sağlık Bakanlığının 2021 Bütçe teklifine Program ve Ekonomik Sınıflandırma Düzeyinde Bütçe Teklif ve Tahminleri’ne başlıklar halinde bakıldığında </w:t>
            </w:r>
            <w:r w:rsidRPr="00757D51">
              <w:rPr>
                <w:rFonts w:ascii="Verdana" w:eastAsia="Times New Roman" w:hAnsi="Verdana" w:cs="Times New Roman"/>
                <w:b/>
                <w:i/>
                <w:lang w:eastAsia="tr-TR"/>
              </w:rPr>
              <w:t xml:space="preserve">Bağımlılıkla Mücadele için 1.685.311.000 TL, Koruyucu Sağlık için 19.048.950.000 TL, Tedavi Edici Sağlık için 54.633.632.000 TL, Yönetim ve Destek için 2.021.477.000 TL, toplamda </w:t>
            </w:r>
            <w:r w:rsidRPr="00757D51">
              <w:rPr>
                <w:rFonts w:ascii="Verdana" w:eastAsia="Times New Roman" w:hAnsi="Verdana" w:cs="Times New Roman"/>
                <w:b/>
                <w:i/>
                <w:lang w:eastAsia="tr-TR"/>
              </w:rPr>
              <w:lastRenderedPageBreak/>
              <w:t>77.615.519.</w:t>
            </w:r>
            <w:proofErr w:type="gramStart"/>
            <w:r w:rsidRPr="00757D51">
              <w:rPr>
                <w:rFonts w:ascii="Verdana" w:eastAsia="Times New Roman" w:hAnsi="Verdana" w:cs="Times New Roman"/>
                <w:b/>
                <w:i/>
                <w:lang w:eastAsia="tr-TR"/>
              </w:rPr>
              <w:t>000  TL</w:t>
            </w:r>
            <w:proofErr w:type="gramEnd"/>
            <w:r w:rsidRPr="00757D51">
              <w:rPr>
                <w:rFonts w:ascii="Verdana" w:eastAsia="Times New Roman" w:hAnsi="Verdana" w:cs="Times New Roman"/>
                <w:b/>
                <w:i/>
                <w:lang w:eastAsia="tr-TR"/>
              </w:rPr>
              <w:t xml:space="preserve"> öngörülmüştür. </w:t>
            </w:r>
          </w:p>
          <w:p w:rsidR="00DF4F69" w:rsidRPr="00BB0C8F" w:rsidRDefault="00CA52E3" w:rsidP="00DE34E6">
            <w:pPr>
              <w:spacing w:before="100" w:beforeAutospacing="1" w:after="100" w:afterAutospacing="1" w:line="360" w:lineRule="auto"/>
              <w:rPr>
                <w:rFonts w:ascii="Verdana" w:eastAsia="Times New Roman" w:hAnsi="Verdana" w:cs="Times New Roman"/>
                <w:b/>
                <w:i/>
                <w:lang w:eastAsia="tr-TR"/>
              </w:rPr>
            </w:pPr>
            <w:r>
              <w:rPr>
                <w:rFonts w:ascii="Verdana" w:eastAsia="Times New Roman" w:hAnsi="Verdana" w:cs="Times New Roman"/>
                <w:b/>
                <w:lang w:eastAsia="tr-TR"/>
              </w:rPr>
              <w:t>1</w:t>
            </w:r>
            <w:r w:rsidR="00DF4F69" w:rsidRPr="00757D51">
              <w:rPr>
                <w:rFonts w:ascii="Verdana" w:eastAsia="Times New Roman" w:hAnsi="Verdana" w:cs="Times New Roman"/>
                <w:b/>
                <w:lang w:eastAsia="tr-TR"/>
              </w:rPr>
              <w:t>-</w:t>
            </w:r>
            <w:r w:rsidR="00DF4F69" w:rsidRPr="00BB0C8F">
              <w:rPr>
                <w:rFonts w:ascii="Verdana" w:eastAsia="Times New Roman" w:hAnsi="Verdana" w:cs="Times New Roman"/>
                <w:b/>
                <w:i/>
                <w:lang w:eastAsia="tr-TR"/>
              </w:rPr>
              <w:t xml:space="preserve">Her türlü uyuşturucu madde kullanımının özellikle genç kesimlerde yaygın olarak kullanıldığı öngörüldüğünde Bağımlılıkla Mücadele Programı için daha fazla bütçe ve kapsamlı bir program hazırlığı olmalıdır. Bu programda bağımlılık tedavi ve </w:t>
            </w:r>
            <w:proofErr w:type="gramStart"/>
            <w:r w:rsidR="00DF4F69" w:rsidRPr="00BB0C8F">
              <w:rPr>
                <w:rFonts w:ascii="Verdana" w:eastAsia="Times New Roman" w:hAnsi="Verdana" w:cs="Times New Roman"/>
                <w:b/>
                <w:i/>
                <w:lang w:eastAsia="tr-TR"/>
              </w:rPr>
              <w:t>rehabilitasyon</w:t>
            </w:r>
            <w:proofErr w:type="gramEnd"/>
            <w:r w:rsidR="00DF4F69" w:rsidRPr="00BB0C8F">
              <w:rPr>
                <w:rFonts w:ascii="Verdana" w:eastAsia="Times New Roman" w:hAnsi="Verdana" w:cs="Times New Roman"/>
                <w:b/>
                <w:i/>
                <w:lang w:eastAsia="tr-TR"/>
              </w:rPr>
              <w:t xml:space="preserve"> merkezleri kurmanın veya geliştirmenin yanında bağımlılığın nedenlerini ortadan kaldırmaya yönelik gerekli eğitim, sosyal, ekonomik ve kültürel programlarında oluşturulması gereklidir. </w:t>
            </w:r>
          </w:p>
          <w:p w:rsidR="00DF4F69" w:rsidRPr="00BB0C8F" w:rsidRDefault="00CA52E3" w:rsidP="00DE34E6">
            <w:pPr>
              <w:spacing w:before="100" w:beforeAutospacing="1" w:after="100" w:afterAutospacing="1" w:line="360" w:lineRule="auto"/>
              <w:rPr>
                <w:rFonts w:ascii="Verdana" w:eastAsia="Times New Roman" w:hAnsi="Verdana" w:cs="Times New Roman"/>
                <w:b/>
                <w:i/>
                <w:lang w:eastAsia="tr-TR"/>
              </w:rPr>
            </w:pPr>
            <w:r>
              <w:rPr>
                <w:rFonts w:ascii="Verdana" w:eastAsia="Times New Roman" w:hAnsi="Verdana" w:cs="Times New Roman"/>
                <w:b/>
                <w:lang w:eastAsia="tr-TR"/>
              </w:rPr>
              <w:t>2</w:t>
            </w:r>
            <w:r w:rsidR="00DF4F69" w:rsidRPr="00757D51">
              <w:rPr>
                <w:rFonts w:ascii="Verdana" w:eastAsia="Times New Roman" w:hAnsi="Verdana" w:cs="Times New Roman"/>
                <w:b/>
                <w:lang w:eastAsia="tr-TR"/>
              </w:rPr>
              <w:t>-</w:t>
            </w:r>
            <w:r w:rsidR="00DF4F69" w:rsidRPr="00BB0C8F">
              <w:rPr>
                <w:rFonts w:ascii="Verdana" w:eastAsia="Times New Roman" w:hAnsi="Verdana" w:cs="Times New Roman"/>
                <w:b/>
                <w:i/>
                <w:lang w:eastAsia="tr-TR"/>
              </w:rPr>
              <w:t xml:space="preserve">Koruyucu Sağlık Programı ve alt program adı altında Aile Hekimliği Hizmetleri için ayrılan bütçe hedefleri özellikle </w:t>
            </w:r>
            <w:proofErr w:type="spellStart"/>
            <w:r w:rsidR="00DF4F69" w:rsidRPr="00BB0C8F">
              <w:rPr>
                <w:rFonts w:ascii="Verdana" w:eastAsia="Times New Roman" w:hAnsi="Verdana" w:cs="Times New Roman"/>
                <w:b/>
                <w:i/>
                <w:lang w:eastAsia="tr-TR"/>
              </w:rPr>
              <w:t>pandemi</w:t>
            </w:r>
            <w:proofErr w:type="spellEnd"/>
            <w:r w:rsidR="00DF4F69" w:rsidRPr="00BB0C8F">
              <w:rPr>
                <w:rFonts w:ascii="Verdana" w:eastAsia="Times New Roman" w:hAnsi="Verdana" w:cs="Times New Roman"/>
                <w:b/>
                <w:i/>
                <w:lang w:eastAsia="tr-TR"/>
              </w:rPr>
              <w:t xml:space="preserve"> göz önüne alındığında bütçe olarak yeterli değildir. Koruyucu Sağlık Hizmetlerinin merkezi bütçe içindeki oranı % </w:t>
            </w:r>
            <w:proofErr w:type="gramStart"/>
            <w:r w:rsidR="00DF4F69" w:rsidRPr="00BB0C8F">
              <w:rPr>
                <w:rFonts w:ascii="Verdana" w:eastAsia="Times New Roman" w:hAnsi="Verdana" w:cs="Times New Roman"/>
                <w:b/>
                <w:i/>
                <w:lang w:eastAsia="tr-TR"/>
              </w:rPr>
              <w:t>1.4</w:t>
            </w:r>
            <w:proofErr w:type="gramEnd"/>
            <w:r w:rsidR="00DF4F69" w:rsidRPr="00BB0C8F">
              <w:rPr>
                <w:rFonts w:ascii="Verdana" w:eastAsia="Times New Roman" w:hAnsi="Verdana" w:cs="Times New Roman"/>
                <w:b/>
                <w:i/>
                <w:lang w:eastAsia="tr-TR"/>
              </w:rPr>
              <w:t xml:space="preserve"> iken, Sağlık Bakanlığı bütçesi içindeki oranı %24.5’dur. </w:t>
            </w:r>
            <w:proofErr w:type="gramStart"/>
            <w:r w:rsidR="00DF4F69" w:rsidRPr="00BB0C8F">
              <w:rPr>
                <w:rFonts w:ascii="Verdana" w:eastAsia="Times New Roman" w:hAnsi="Verdana" w:cs="Times New Roman"/>
                <w:b/>
                <w:i/>
                <w:lang w:eastAsia="tr-TR"/>
              </w:rPr>
              <w:t xml:space="preserve">Bu programa alt başlıklar halinde Aile Hekimliği Hizmetleri ve Koruyucu Sağlık Halk Sağlığının Korunması (Ağız ve diş sağlığının korunması, Ana çocuk sağlığı faaliyetleri, Aşılama hizmetleri, Birinci basamak Sağlık tesissi yapım, tefrişat ve onarımı, Bulaşıcı hastalıklara karşı aşılama faaliyetleri, Bulaşıcı ve salgın hastalıklara karşı diğer mücadele </w:t>
            </w:r>
            <w:proofErr w:type="spellStart"/>
            <w:r w:rsidR="00DF4F69" w:rsidRPr="00BB0C8F">
              <w:rPr>
                <w:rFonts w:ascii="Verdana" w:eastAsia="Times New Roman" w:hAnsi="Verdana" w:cs="Times New Roman"/>
                <w:b/>
                <w:i/>
                <w:lang w:eastAsia="tr-TR"/>
              </w:rPr>
              <w:t>faliyetleri</w:t>
            </w:r>
            <w:proofErr w:type="spellEnd"/>
            <w:r w:rsidR="00DF4F69" w:rsidRPr="00BB0C8F">
              <w:rPr>
                <w:rFonts w:ascii="Verdana" w:eastAsia="Times New Roman" w:hAnsi="Verdana" w:cs="Times New Roman"/>
                <w:b/>
                <w:i/>
                <w:lang w:eastAsia="tr-TR"/>
              </w:rPr>
              <w:t xml:space="preserve">, Kanserle mücadele faaliyetleri, Ruh sağlığı hizmetleri, Sağlığın geliştirilmesi ve sağlıklı hayat programları, Sağlıklı beslenme ve fiziksel aktiviteye yönelik faaliyetler) konulmuşken, bu programın en eksik tarafı Covid19 </w:t>
            </w:r>
            <w:proofErr w:type="spellStart"/>
            <w:r w:rsidR="00DF4F69" w:rsidRPr="00BB0C8F">
              <w:rPr>
                <w:rFonts w:ascii="Verdana" w:eastAsia="Times New Roman" w:hAnsi="Verdana" w:cs="Times New Roman"/>
                <w:b/>
                <w:i/>
                <w:lang w:eastAsia="tr-TR"/>
              </w:rPr>
              <w:t>pandemisi</w:t>
            </w:r>
            <w:proofErr w:type="spellEnd"/>
            <w:r w:rsidR="00DF4F69" w:rsidRPr="00BB0C8F">
              <w:rPr>
                <w:rFonts w:ascii="Verdana" w:eastAsia="Times New Roman" w:hAnsi="Verdana" w:cs="Times New Roman"/>
                <w:b/>
                <w:i/>
                <w:lang w:eastAsia="tr-TR"/>
              </w:rPr>
              <w:t xml:space="preserve"> ile ilgili bir başlık oluşturulmamış olmasıdır. </w:t>
            </w:r>
            <w:proofErr w:type="gramEnd"/>
          </w:p>
          <w:p w:rsidR="00DF4F69" w:rsidRPr="00757D51" w:rsidRDefault="00DF4F69" w:rsidP="00DE34E6">
            <w:pPr>
              <w:spacing w:after="450" w:line="360" w:lineRule="auto"/>
              <w:rPr>
                <w:rFonts w:ascii="Verdana" w:eastAsia="Times New Roman" w:hAnsi="Verdana" w:cs="Times New Roman"/>
                <w:lang w:eastAsia="tr-TR"/>
              </w:rPr>
            </w:pPr>
            <w:r w:rsidRPr="00BB0C8F">
              <w:rPr>
                <w:rFonts w:ascii="Verdana" w:eastAsia="Times New Roman" w:hAnsi="Verdana" w:cs="Times New Roman"/>
                <w:b/>
                <w:i/>
                <w:lang w:eastAsia="tr-TR"/>
              </w:rPr>
              <w:t xml:space="preserve">TÜİK tarafından 2020 yılı için öngörülen nüfusun 83 milyon 154 bin 997 kişi olduğu dikkate alınırsa, sağlık hizmetleri için kişi başına </w:t>
            </w:r>
            <w:proofErr w:type="gramStart"/>
            <w:r w:rsidRPr="00BB0C8F">
              <w:rPr>
                <w:rFonts w:ascii="Verdana" w:eastAsia="Times New Roman" w:hAnsi="Verdana" w:cs="Times New Roman"/>
                <w:b/>
                <w:i/>
                <w:lang w:eastAsia="tr-TR"/>
              </w:rPr>
              <w:t>933.38</w:t>
            </w:r>
            <w:proofErr w:type="gramEnd"/>
            <w:r w:rsidRPr="00BB0C8F">
              <w:rPr>
                <w:rFonts w:ascii="Verdana" w:eastAsia="Times New Roman" w:hAnsi="Verdana" w:cs="Times New Roman"/>
                <w:b/>
                <w:i/>
                <w:lang w:eastAsia="tr-TR"/>
              </w:rPr>
              <w:t xml:space="preserve"> TL düştüğü görülmektedir. Sağlık Bakanlığı bütçesinden personel gideri, SGK devlet primi gideri ve genel kamu gideri olarak planlanan 37 milyar 697 milyon 203 bin TL’lik (%</w:t>
            </w:r>
            <w:proofErr w:type="gramStart"/>
            <w:r w:rsidRPr="00BB0C8F">
              <w:rPr>
                <w:rFonts w:ascii="Verdana" w:eastAsia="Times New Roman" w:hAnsi="Verdana" w:cs="Times New Roman"/>
                <w:b/>
                <w:i/>
                <w:lang w:eastAsia="tr-TR"/>
              </w:rPr>
              <w:t>48.5</w:t>
            </w:r>
            <w:proofErr w:type="gramEnd"/>
            <w:r w:rsidRPr="00BB0C8F">
              <w:rPr>
                <w:rFonts w:ascii="Verdana" w:eastAsia="Times New Roman" w:hAnsi="Verdana" w:cs="Times New Roman"/>
                <w:b/>
                <w:i/>
                <w:lang w:eastAsia="tr-TR"/>
              </w:rPr>
              <w:t xml:space="preserve">) kısmı çıkartıldığında, sağlık hizmeti sunumu için merkezi bütçeden yalnızca 39 milyar 697milyon 203 bin TL, koruyucu halk sağlık hizmeti sunumu için de 2 milyar 102 milyon 863 bin TL ayrılmasının planlandığı görülmektedir. Bu rakamlara göre, 2021 yılında merkezi bütçeden kişi başına sağlık hizmeti harcaması için </w:t>
            </w:r>
            <w:proofErr w:type="gramStart"/>
            <w:r w:rsidRPr="00BB0C8F">
              <w:rPr>
                <w:rFonts w:ascii="Verdana" w:eastAsia="Times New Roman" w:hAnsi="Verdana" w:cs="Times New Roman"/>
                <w:b/>
                <w:i/>
                <w:lang w:eastAsia="tr-TR"/>
              </w:rPr>
              <w:t>477.38</w:t>
            </w:r>
            <w:proofErr w:type="gramEnd"/>
            <w:r w:rsidRPr="00BB0C8F">
              <w:rPr>
                <w:rFonts w:ascii="Verdana" w:eastAsia="Times New Roman" w:hAnsi="Verdana" w:cs="Times New Roman"/>
                <w:b/>
                <w:i/>
                <w:lang w:eastAsia="tr-TR"/>
              </w:rPr>
              <w:t xml:space="preserve"> TL yalnızca koruyucu sağlık hizmeti için ise yalnızca 25.28 TL ayrılmasının planlandığı görülmektedir.</w:t>
            </w:r>
            <w:r w:rsidRPr="00757D51">
              <w:rPr>
                <w:rFonts w:ascii="Verdana" w:eastAsia="Times New Roman" w:hAnsi="Verdana" w:cs="Times New Roman"/>
                <w:lang w:eastAsia="tr-TR"/>
              </w:rPr>
              <w:t xml:space="preserve"> </w:t>
            </w:r>
            <w:proofErr w:type="gramStart"/>
            <w:r w:rsidRPr="00757D51">
              <w:rPr>
                <w:rFonts w:ascii="Verdana" w:eastAsia="Times New Roman" w:hAnsi="Verdana" w:cs="Times New Roman"/>
                <w:lang w:eastAsia="tr-TR"/>
              </w:rPr>
              <w:t>Oysa,</w:t>
            </w:r>
            <w:proofErr w:type="gramEnd"/>
            <w:r w:rsidRPr="00757D51">
              <w:rPr>
                <w:rFonts w:ascii="Verdana" w:eastAsia="Times New Roman" w:hAnsi="Verdana" w:cs="Times New Roman"/>
                <w:lang w:eastAsia="tr-TR"/>
              </w:rPr>
              <w:t xml:space="preserve"> Diyanet İşleri Başkanlığının 12.9 milyar TL (yüzde 0.95) bütçesinden, tüm ülke nüfusunun </w:t>
            </w:r>
            <w:proofErr w:type="spellStart"/>
            <w:r w:rsidRPr="00757D51">
              <w:rPr>
                <w:rFonts w:ascii="Verdana" w:eastAsia="Times New Roman" w:hAnsi="Verdana" w:cs="Times New Roman"/>
                <w:lang w:eastAsia="tr-TR"/>
              </w:rPr>
              <w:t>sünni</w:t>
            </w:r>
            <w:proofErr w:type="spellEnd"/>
            <w:r w:rsidRPr="00757D51">
              <w:rPr>
                <w:rFonts w:ascii="Verdana" w:eastAsia="Times New Roman" w:hAnsi="Verdana" w:cs="Times New Roman"/>
                <w:lang w:eastAsia="tr-TR"/>
              </w:rPr>
              <w:t xml:space="preserve"> Müslüman olduğu varsayılsa dahi, kişi başına 155 TL’den daha fazlası düşmektedir.</w:t>
            </w:r>
          </w:p>
          <w:p w:rsidR="00DF4F69" w:rsidRPr="00757D51" w:rsidRDefault="00DF4F69" w:rsidP="00DE34E6">
            <w:pPr>
              <w:spacing w:before="100" w:beforeAutospacing="1" w:after="100" w:afterAutospacing="1" w:line="360" w:lineRule="auto"/>
              <w:rPr>
                <w:rFonts w:ascii="Verdana" w:eastAsia="Times New Roman" w:hAnsi="Verdana" w:cs="Times New Roman"/>
                <w:lang w:eastAsia="tr-TR"/>
              </w:rPr>
            </w:pPr>
            <w:r w:rsidRPr="00757D51">
              <w:rPr>
                <w:rFonts w:ascii="Verdana" w:eastAsia="Times New Roman" w:hAnsi="Verdana" w:cs="Times New Roman"/>
                <w:lang w:eastAsia="tr-TR"/>
              </w:rPr>
              <w:lastRenderedPageBreak/>
              <w:t xml:space="preserve">Covid19 </w:t>
            </w:r>
            <w:proofErr w:type="spellStart"/>
            <w:r w:rsidRPr="00757D51">
              <w:rPr>
                <w:rFonts w:ascii="Verdana" w:eastAsia="Times New Roman" w:hAnsi="Verdana" w:cs="Times New Roman"/>
                <w:lang w:eastAsia="tr-TR"/>
              </w:rPr>
              <w:t>pandemisi</w:t>
            </w:r>
            <w:proofErr w:type="spellEnd"/>
            <w:r w:rsidRPr="00757D51">
              <w:rPr>
                <w:rFonts w:ascii="Verdana" w:eastAsia="Times New Roman" w:hAnsi="Verdana" w:cs="Times New Roman"/>
                <w:lang w:eastAsia="tr-TR"/>
              </w:rPr>
              <w:t xml:space="preserve"> tüm dünyada koruyucu sağlık hizmetlerinin ne kadar önemli olduğunu ortaya çıkarmışken </w:t>
            </w:r>
            <w:r w:rsidRPr="00757D51">
              <w:rPr>
                <w:rFonts w:ascii="Verdana" w:eastAsia="Times New Roman" w:hAnsi="Verdana" w:cs="Times New Roman"/>
                <w:b/>
                <w:i/>
                <w:lang w:eastAsia="tr-TR"/>
              </w:rPr>
              <w:t xml:space="preserve">Sağlık Bakanlığı bütçesinde </w:t>
            </w:r>
            <w:proofErr w:type="spellStart"/>
            <w:r w:rsidRPr="00757D51">
              <w:rPr>
                <w:rFonts w:ascii="Verdana" w:eastAsia="Times New Roman" w:hAnsi="Verdana" w:cs="Times New Roman"/>
                <w:b/>
                <w:i/>
                <w:lang w:eastAsia="tr-TR"/>
              </w:rPr>
              <w:t>pandemiye</w:t>
            </w:r>
            <w:proofErr w:type="spellEnd"/>
            <w:r w:rsidRPr="00757D51">
              <w:rPr>
                <w:rFonts w:ascii="Verdana" w:eastAsia="Times New Roman" w:hAnsi="Verdana" w:cs="Times New Roman"/>
                <w:b/>
                <w:i/>
                <w:lang w:eastAsia="tr-TR"/>
              </w:rPr>
              <w:t xml:space="preserve"> yer verilmemesi; </w:t>
            </w:r>
            <w:proofErr w:type="spellStart"/>
            <w:r w:rsidRPr="00757D51">
              <w:rPr>
                <w:rFonts w:ascii="Verdana" w:eastAsia="Times New Roman" w:hAnsi="Verdana" w:cs="Times New Roman"/>
                <w:b/>
                <w:i/>
                <w:lang w:eastAsia="tr-TR"/>
              </w:rPr>
              <w:t>pandemi</w:t>
            </w:r>
            <w:proofErr w:type="spellEnd"/>
            <w:r w:rsidRPr="00757D51">
              <w:rPr>
                <w:rFonts w:ascii="Verdana" w:eastAsia="Times New Roman" w:hAnsi="Verdana" w:cs="Times New Roman"/>
                <w:b/>
                <w:i/>
                <w:lang w:eastAsia="tr-TR"/>
              </w:rPr>
              <w:t xml:space="preserve"> ve koruyucu sağlık hizmetlerinin yeterince kavranmadığını ve büyük bir eksiklik olduğunu göstermektedir. </w:t>
            </w:r>
            <w:r w:rsidRPr="00757D51">
              <w:rPr>
                <w:rFonts w:ascii="Verdana" w:eastAsia="Times New Roman" w:hAnsi="Verdana" w:cs="Times New Roman"/>
                <w:lang w:eastAsia="tr-TR"/>
              </w:rPr>
              <w:t xml:space="preserve"> </w:t>
            </w:r>
            <w:r w:rsidRPr="00757D51">
              <w:rPr>
                <w:rFonts w:ascii="Verdana" w:hAnsi="Verdana" w:cs="Times New Roman"/>
              </w:rPr>
              <w:t>2021 Sağlık Bütçesi bu gerçeği görmezden gelen ve sadece salgın ile mücadele değil, genel olarak toplum sağlığının korunması konusunda son derece yetersiz bir bütçedir.</w:t>
            </w:r>
            <w:r w:rsidRPr="00757D51">
              <w:rPr>
                <w:rFonts w:ascii="Verdana" w:eastAsia="Times New Roman" w:hAnsi="Verdana" w:cs="Times New Roman"/>
                <w:lang w:eastAsia="tr-TR"/>
              </w:rPr>
              <w:t xml:space="preserve"> </w:t>
            </w:r>
          </w:p>
          <w:p w:rsidR="00DF4F69" w:rsidRPr="00BB0C8F" w:rsidRDefault="00CA52E3" w:rsidP="00DE34E6">
            <w:pPr>
              <w:spacing w:line="360" w:lineRule="auto"/>
              <w:rPr>
                <w:rFonts w:ascii="Verdana" w:hAnsi="Verdana" w:cs="Times New Roman"/>
                <w:b/>
                <w:i/>
              </w:rPr>
            </w:pPr>
            <w:r>
              <w:rPr>
                <w:rFonts w:ascii="Verdana" w:eastAsia="Times New Roman" w:hAnsi="Verdana" w:cs="Times New Roman"/>
                <w:b/>
                <w:lang w:eastAsia="tr-TR"/>
              </w:rPr>
              <w:t>3</w:t>
            </w:r>
            <w:r w:rsidR="00DF4F69" w:rsidRPr="00757D51">
              <w:rPr>
                <w:rFonts w:ascii="Verdana" w:eastAsia="Times New Roman" w:hAnsi="Verdana" w:cs="Times New Roman"/>
                <w:b/>
                <w:lang w:eastAsia="tr-TR"/>
              </w:rPr>
              <w:t>-</w:t>
            </w:r>
            <w:r w:rsidR="00DF4F69" w:rsidRPr="00BB0C8F">
              <w:rPr>
                <w:rFonts w:ascii="Verdana" w:eastAsia="Times New Roman" w:hAnsi="Verdana" w:cs="Times New Roman"/>
                <w:b/>
                <w:i/>
                <w:lang w:eastAsia="tr-TR"/>
              </w:rPr>
              <w:t xml:space="preserve">Tedavi Edici Sağlık programı ise Sağlık Bakanlığı bütçesinin en fazla kısmını oluşturmaktadır; </w:t>
            </w:r>
            <w:r w:rsidR="00DF4F69" w:rsidRPr="00BB0C8F">
              <w:rPr>
                <w:rFonts w:ascii="Verdana" w:hAnsi="Verdana" w:cs="Times New Roman"/>
                <w:b/>
                <w:i/>
              </w:rPr>
              <w:t xml:space="preserve">54,6 milyar liralık kısmı (%69) tedavi edici hizmetlere, buna karşılık 19 milyar lirası (%25) koruyucu hizmetlere ayrılmıştır. Yani ödeneklerin neredeyse dörtte üçü tedavi edici hizmetler adı verilen ve sağlıkta ticarileşme ve metalaşmayı da içeren hizmetlere ayrılmaktadır.  </w:t>
            </w:r>
            <w:r w:rsidR="00DF4F69" w:rsidRPr="00BB0C8F">
              <w:rPr>
                <w:rFonts w:ascii="Verdana" w:eastAsia="Times New Roman" w:hAnsi="Verdana" w:cs="Times New Roman"/>
                <w:b/>
                <w:i/>
                <w:lang w:eastAsia="tr-TR"/>
              </w:rPr>
              <w:t xml:space="preserve">Oysaki sağlık sistemini hastalıkları önleme yerine tedavi edici olarak kurgulamak dünyada ki en pahalı sağlık hizmeti sunumudur. </w:t>
            </w:r>
          </w:p>
          <w:p w:rsidR="00DF4F69" w:rsidRPr="00BB0C8F" w:rsidRDefault="00DF4F69" w:rsidP="00DE34E6">
            <w:pPr>
              <w:spacing w:before="100" w:beforeAutospacing="1" w:after="100" w:afterAutospacing="1" w:line="360" w:lineRule="auto"/>
              <w:rPr>
                <w:rFonts w:ascii="Verdana" w:hAnsi="Verdana" w:cs="Times New Roman"/>
                <w:b/>
                <w:i/>
              </w:rPr>
            </w:pPr>
            <w:r w:rsidRPr="00BB0C8F">
              <w:rPr>
                <w:rFonts w:ascii="Verdana" w:eastAsia="Times New Roman" w:hAnsi="Verdana" w:cs="Times New Roman"/>
                <w:b/>
                <w:i/>
                <w:lang w:eastAsia="tr-TR"/>
              </w:rPr>
              <w:t xml:space="preserve">Sağlık Bakanlığı'nın 2021 yılında şehir hastaneleri için ayırdığı tutar beklenildiği gibi, bütçenin büyük kısmını yutmuştur. Sağlık Bakanlığı 2020 bütçesinde şehir hastaneleri için yaklaşık </w:t>
            </w:r>
            <w:proofErr w:type="gramStart"/>
            <w:r w:rsidRPr="00BB0C8F">
              <w:rPr>
                <w:rFonts w:ascii="Verdana" w:eastAsia="Times New Roman" w:hAnsi="Verdana" w:cs="Times New Roman"/>
                <w:b/>
                <w:i/>
                <w:lang w:eastAsia="tr-TR"/>
              </w:rPr>
              <w:t>10.5</w:t>
            </w:r>
            <w:proofErr w:type="gramEnd"/>
            <w:r w:rsidRPr="00BB0C8F">
              <w:rPr>
                <w:rFonts w:ascii="Verdana" w:eastAsia="Times New Roman" w:hAnsi="Verdana" w:cs="Times New Roman"/>
                <w:b/>
                <w:i/>
                <w:lang w:eastAsia="tr-TR"/>
              </w:rPr>
              <w:t xml:space="preserve"> milyar TL kira ve hizmet bedeli için ödenek ayırırken, 2021 yılı için bu tutarı 16 milyar 392 milyon TL'ye çıkarmıştır. Bu tutarın 6 milyar 415 milyon TL'sini hastanelerin hizmet alımı yoluyla sunduğu hizmetlerin (tıbbi görüntüleme, güvenlik, temizlik, </w:t>
            </w:r>
            <w:proofErr w:type="spellStart"/>
            <w:r w:rsidRPr="00BB0C8F">
              <w:rPr>
                <w:rFonts w:ascii="Verdana" w:eastAsia="Times New Roman" w:hAnsi="Verdana" w:cs="Times New Roman"/>
                <w:b/>
                <w:i/>
                <w:lang w:eastAsia="tr-TR"/>
              </w:rPr>
              <w:t>laboratuvar</w:t>
            </w:r>
            <w:proofErr w:type="spellEnd"/>
            <w:r w:rsidRPr="00BB0C8F">
              <w:rPr>
                <w:rFonts w:ascii="Verdana" w:eastAsia="Times New Roman" w:hAnsi="Verdana" w:cs="Times New Roman"/>
                <w:b/>
                <w:i/>
                <w:lang w:eastAsia="tr-TR"/>
              </w:rPr>
              <w:t xml:space="preserve"> hizmetleri) karşılığını oluşturmaktadır. Sağlık Bakanlığı, 2021 yılında şehir hastanelerinin kira bedelleri için 9 milyar 977 milyon TL ödeyecektir. B</w:t>
            </w:r>
            <w:r w:rsidRPr="00BB0C8F">
              <w:rPr>
                <w:rFonts w:ascii="Verdana" w:hAnsi="Verdana" w:cs="Times New Roman"/>
                <w:b/>
                <w:i/>
              </w:rPr>
              <w:t xml:space="preserve">ütçeden 2021 yılında şehir hastaneleri için 16 milyar lirayı </w:t>
            </w:r>
            <w:proofErr w:type="gramStart"/>
            <w:r w:rsidRPr="00BB0C8F">
              <w:rPr>
                <w:rFonts w:ascii="Verdana" w:hAnsi="Verdana" w:cs="Times New Roman"/>
                <w:b/>
                <w:i/>
              </w:rPr>
              <w:t>aşan  bir</w:t>
            </w:r>
            <w:proofErr w:type="gramEnd"/>
            <w:r w:rsidRPr="00BB0C8F">
              <w:rPr>
                <w:rFonts w:ascii="Verdana" w:hAnsi="Verdana" w:cs="Times New Roman"/>
                <w:b/>
                <w:i/>
              </w:rPr>
              <w:t xml:space="preserve"> kaynağın ayrıldığı gerçeği de  iktidara yakın inşaat gruplarının veya şirketlerin bu bütçeden en büyük payı almayı sürdüreceğini ortaya koymaktadır.</w:t>
            </w:r>
          </w:p>
          <w:p w:rsidR="00DF4F69" w:rsidRPr="00BB0C8F" w:rsidRDefault="00DF4F69" w:rsidP="00DE34E6">
            <w:pPr>
              <w:spacing w:line="360" w:lineRule="auto"/>
              <w:rPr>
                <w:rFonts w:ascii="Verdana" w:hAnsi="Verdana" w:cs="Times New Roman"/>
                <w:b/>
                <w:i/>
              </w:rPr>
            </w:pPr>
            <w:r w:rsidRPr="00BB0C8F">
              <w:rPr>
                <w:rFonts w:ascii="Verdana" w:hAnsi="Verdana" w:cs="Times New Roman"/>
                <w:b/>
                <w:i/>
              </w:rPr>
              <w:t xml:space="preserve">Şehir Hastanelerinin hizmete açılmaya başladığı 2018 yılından itibaren yüklenicilere; kira ödemesi ile sundukları </w:t>
            </w:r>
            <w:proofErr w:type="spellStart"/>
            <w:r w:rsidRPr="00BB0C8F">
              <w:rPr>
                <w:rFonts w:ascii="Verdana" w:hAnsi="Verdana" w:cs="Times New Roman"/>
                <w:b/>
                <w:i/>
              </w:rPr>
              <w:t>laboratuvar</w:t>
            </w:r>
            <w:proofErr w:type="spellEnd"/>
            <w:r w:rsidRPr="00BB0C8F">
              <w:rPr>
                <w:rFonts w:ascii="Verdana" w:hAnsi="Verdana" w:cs="Times New Roman"/>
                <w:b/>
                <w:i/>
              </w:rPr>
              <w:t xml:space="preserve"> ve benzeri hizmetlerin karşılığında bütçeye ödenek konulmaktadır. 2018 yılından bu yana şehir hastanelerini </w:t>
            </w:r>
            <w:proofErr w:type="gramStart"/>
            <w:r w:rsidRPr="00BB0C8F">
              <w:rPr>
                <w:rFonts w:ascii="Verdana" w:hAnsi="Verdana" w:cs="Times New Roman"/>
                <w:b/>
                <w:i/>
              </w:rPr>
              <w:t>müteahhitlerine</w:t>
            </w:r>
            <w:proofErr w:type="gramEnd"/>
            <w:r w:rsidRPr="00BB0C8F">
              <w:rPr>
                <w:rFonts w:ascii="Verdana" w:hAnsi="Verdana" w:cs="Times New Roman"/>
                <w:b/>
                <w:i/>
              </w:rPr>
              <w:t xml:space="preserve"> Sermaye Giderleri kaleminden 2018 yılından bu yana şehir hastanelerine ödenen kira bedelleri sırasıyla: 2018 yılında: 1,3 milyar lira; 2019’da: 3,7 milyar lira; 2020’de: 5,6 milyar lira olurken, 2021 yılında 9,98 milyar lira olarak gerçekleşecektir.  Böylece şehir hastanelerine ödenen kira bedellerinin yıllara göre artış oranları 2019 yılında (2018’e göre) %188, 2020’de </w:t>
            </w:r>
            <w:r w:rsidRPr="00BB0C8F">
              <w:rPr>
                <w:rFonts w:ascii="Verdana" w:hAnsi="Verdana" w:cs="Times New Roman"/>
                <w:b/>
                <w:i/>
              </w:rPr>
              <w:lastRenderedPageBreak/>
              <w:t xml:space="preserve">%52 ve 2021’de %77 olacaktır. Bu sağlığa ayrılan bütçede artış gibi görülse de aslında şirketlere giden kaynaktır. </w:t>
            </w:r>
          </w:p>
          <w:p w:rsidR="00DF4F69" w:rsidRPr="00BB0C8F" w:rsidRDefault="00DF4F69" w:rsidP="00DE34E6">
            <w:pPr>
              <w:spacing w:line="360" w:lineRule="auto"/>
              <w:rPr>
                <w:rFonts w:ascii="Verdana" w:hAnsi="Verdana" w:cs="Times New Roman"/>
                <w:b/>
                <w:i/>
              </w:rPr>
            </w:pPr>
            <w:r w:rsidRPr="00BB0C8F">
              <w:rPr>
                <w:rFonts w:ascii="Verdana" w:hAnsi="Verdana" w:cs="Times New Roman"/>
                <w:b/>
                <w:i/>
              </w:rPr>
              <w:t xml:space="preserve">Covid19 dünyada pek çok gelişmiş kapitalist ülkede olduğu gibi sağlık alt yapısının ne denli zayıf olduğu gerçeğini ortaya çıkarmıştır. Türkiye’de de olası salgınlar karşısında her hangi bir ön hazırlığın olmadığı bir kez daha görünür olmuş, grip aşısının dahi üretilmesi ya da satın alınması için kaynak ayrılmamıştır. Başka amaçlarla kurulmuş olan şehir hastaneleri bu dönemde </w:t>
            </w:r>
            <w:proofErr w:type="spellStart"/>
            <w:r w:rsidRPr="00BB0C8F">
              <w:rPr>
                <w:rFonts w:ascii="Verdana" w:hAnsi="Verdana" w:cs="Times New Roman"/>
                <w:b/>
                <w:i/>
              </w:rPr>
              <w:t>pandemi</w:t>
            </w:r>
            <w:proofErr w:type="spellEnd"/>
            <w:r w:rsidRPr="00BB0C8F">
              <w:rPr>
                <w:rFonts w:ascii="Verdana" w:hAnsi="Verdana" w:cs="Times New Roman"/>
                <w:b/>
                <w:i/>
              </w:rPr>
              <w:t xml:space="preserve"> hastanesine dönüştürülürken, bunlar için katlanılan maliyetin küçük bir kısmı ile ülkede sağlam bir sağlık alt yapısının kurulabileceği ya da mevcudun güçlendirilebileceği gerçeğini de ortaya çıkarmıştır. </w:t>
            </w:r>
            <w:r w:rsidRPr="00BB0C8F">
              <w:rPr>
                <w:rFonts w:ascii="Verdana" w:eastAsia="Times New Roman" w:hAnsi="Verdana" w:cs="Times New Roman"/>
                <w:b/>
                <w:i/>
                <w:lang w:eastAsia="tr-TR"/>
              </w:rPr>
              <w:t xml:space="preserve">Gelişmiş ülkeler (örneğin İngiltere, Ulusal Sağlık Hizmetlerine İkinci Dünya Savaşından bu yana en büyük payı ayırmıştır) Covid19 </w:t>
            </w:r>
            <w:proofErr w:type="spellStart"/>
            <w:r w:rsidRPr="00BB0C8F">
              <w:rPr>
                <w:rFonts w:ascii="Verdana" w:eastAsia="Times New Roman" w:hAnsi="Verdana" w:cs="Times New Roman"/>
                <w:b/>
                <w:i/>
                <w:lang w:eastAsia="tr-TR"/>
              </w:rPr>
              <w:t>pandemisinden</w:t>
            </w:r>
            <w:proofErr w:type="spellEnd"/>
            <w:r w:rsidRPr="00BB0C8F">
              <w:rPr>
                <w:rFonts w:ascii="Verdana" w:eastAsia="Times New Roman" w:hAnsi="Verdana" w:cs="Times New Roman"/>
                <w:b/>
                <w:i/>
                <w:lang w:eastAsia="tr-TR"/>
              </w:rPr>
              <w:t xml:space="preserve"> ders çıkararak sağlığa ayırdıkları bütçeyi artırmışlardır. Ancak, Türkiye’de iktidar; sağlığa ayırdığı bütçeyi, şehir hastaneleri üzerinden şirketlere aktarmaya devam etmiştir.  </w:t>
            </w:r>
          </w:p>
          <w:p w:rsidR="00DF4F69" w:rsidRPr="00BB0C8F" w:rsidRDefault="00DF4F69" w:rsidP="00DE34E6">
            <w:pPr>
              <w:spacing w:before="100" w:beforeAutospacing="1" w:after="100" w:afterAutospacing="1" w:line="360" w:lineRule="auto"/>
              <w:rPr>
                <w:rFonts w:ascii="Verdana" w:eastAsia="Times New Roman" w:hAnsi="Verdana" w:cs="Times New Roman"/>
                <w:b/>
                <w:i/>
                <w:lang w:eastAsia="tr-TR"/>
              </w:rPr>
            </w:pPr>
            <w:r w:rsidRPr="00BB0C8F">
              <w:rPr>
                <w:rFonts w:ascii="Verdana" w:eastAsia="Times New Roman" w:hAnsi="Verdana" w:cs="Times New Roman"/>
                <w:b/>
                <w:i/>
                <w:lang w:eastAsia="tr-TR"/>
              </w:rPr>
              <w:t>İlaç üretiminde dışa bağımlı olan ve yakın zamanda borçları yüzünden ilaç bulmakta sıkıntı çekecek olan Türkiye’de sadece patentli ilaç üretimi yapılmakta, ilaç sanayinde AR-</w:t>
            </w:r>
            <w:proofErr w:type="spellStart"/>
            <w:r w:rsidRPr="00BB0C8F">
              <w:rPr>
                <w:rFonts w:ascii="Verdana" w:eastAsia="Times New Roman" w:hAnsi="Verdana" w:cs="Times New Roman"/>
                <w:b/>
                <w:i/>
                <w:lang w:eastAsia="tr-TR"/>
              </w:rPr>
              <w:t>GE’nin</w:t>
            </w:r>
            <w:proofErr w:type="spellEnd"/>
            <w:r w:rsidRPr="00BB0C8F">
              <w:rPr>
                <w:rFonts w:ascii="Verdana" w:eastAsia="Times New Roman" w:hAnsi="Verdana" w:cs="Times New Roman"/>
                <w:b/>
                <w:i/>
                <w:lang w:eastAsia="tr-TR"/>
              </w:rPr>
              <w:t xml:space="preserve"> yok denecek kadar az olmasından kaynaklı molekülden ilaç üretimi gerçekleştirilememektedir. Aynı durum </w:t>
            </w:r>
            <w:proofErr w:type="spellStart"/>
            <w:r w:rsidRPr="00BB0C8F">
              <w:rPr>
                <w:rFonts w:ascii="Verdana" w:eastAsia="Times New Roman" w:hAnsi="Verdana" w:cs="Times New Roman"/>
                <w:b/>
                <w:i/>
                <w:lang w:eastAsia="tr-TR"/>
              </w:rPr>
              <w:t>influenza</w:t>
            </w:r>
            <w:proofErr w:type="spellEnd"/>
            <w:r w:rsidRPr="00BB0C8F">
              <w:rPr>
                <w:rFonts w:ascii="Verdana" w:eastAsia="Times New Roman" w:hAnsi="Verdana" w:cs="Times New Roman"/>
                <w:b/>
                <w:i/>
                <w:lang w:eastAsia="tr-TR"/>
              </w:rPr>
              <w:t xml:space="preserve"> aşısı üretmek, Covid19 aşını bulmak ve seri üretim için de geçerlidir.  Türkiye ilaç endüstrisinin yıllık AR-GE harcamasının yaklaşık 400 milyon TL olduğu belirtilmektedir. Şehir hastanelerinin kira bedellerinin üniversitelerin AR-GE çalışmalarına ayrılması durumunda, molekülden ilaç üretimi sağlanabilecek, aşı için kaynaklar yurt dışına aktarılmayacak, aynı zamanda ülke ekonomisine de katkı sağlayacaktır. </w:t>
            </w:r>
          </w:p>
          <w:p w:rsidR="00DF4F69" w:rsidRPr="00BB0C8F" w:rsidRDefault="00DF4F69" w:rsidP="00DE34E6">
            <w:pPr>
              <w:spacing w:before="100" w:beforeAutospacing="1" w:after="100" w:afterAutospacing="1" w:line="360" w:lineRule="auto"/>
              <w:rPr>
                <w:rFonts w:ascii="Verdana" w:eastAsia="Times New Roman" w:hAnsi="Verdana" w:cs="Times New Roman"/>
                <w:b/>
                <w:i/>
                <w:lang w:eastAsia="tr-TR"/>
              </w:rPr>
            </w:pPr>
            <w:r w:rsidRPr="00BB0C8F">
              <w:rPr>
                <w:rFonts w:ascii="Verdana" w:eastAsia="Times New Roman" w:hAnsi="Verdana" w:cs="Times New Roman"/>
                <w:b/>
                <w:i/>
                <w:lang w:eastAsia="tr-TR"/>
              </w:rPr>
              <w:t xml:space="preserve">Üniversite hastaneleri ve kamu hastaneleri tıbbi cihaz ve malzeme alacak parayı bulamamaktadır. Sağlık çalışanları ise salgın nedeniyle risk altında, uzun, düzensiz mesai yaptığı halde aylardır hak ettikleri ek ödemeyi alamamaktadır. </w:t>
            </w:r>
            <w:proofErr w:type="spellStart"/>
            <w:r w:rsidRPr="00BB0C8F">
              <w:rPr>
                <w:rFonts w:ascii="Verdana" w:eastAsia="Times New Roman" w:hAnsi="Verdana" w:cs="Times New Roman"/>
                <w:b/>
                <w:i/>
                <w:lang w:eastAsia="tr-TR"/>
              </w:rPr>
              <w:t>Pandemi</w:t>
            </w:r>
            <w:proofErr w:type="spellEnd"/>
            <w:r w:rsidRPr="00BB0C8F">
              <w:rPr>
                <w:rFonts w:ascii="Verdana" w:eastAsia="Times New Roman" w:hAnsi="Verdana" w:cs="Times New Roman"/>
                <w:b/>
                <w:i/>
                <w:lang w:eastAsia="tr-TR"/>
              </w:rPr>
              <w:t xml:space="preserve"> süresince 8 aydır büyük </w:t>
            </w:r>
            <w:proofErr w:type="gramStart"/>
            <w:r w:rsidRPr="00BB0C8F">
              <w:rPr>
                <w:rFonts w:ascii="Verdana" w:eastAsia="Times New Roman" w:hAnsi="Verdana" w:cs="Times New Roman"/>
                <w:b/>
                <w:i/>
                <w:lang w:eastAsia="tr-TR"/>
              </w:rPr>
              <w:t>fedakarlıkla</w:t>
            </w:r>
            <w:proofErr w:type="gramEnd"/>
            <w:r w:rsidRPr="00BB0C8F">
              <w:rPr>
                <w:rFonts w:ascii="Verdana" w:eastAsia="Times New Roman" w:hAnsi="Verdana" w:cs="Times New Roman"/>
                <w:b/>
                <w:i/>
                <w:lang w:eastAsia="tr-TR"/>
              </w:rPr>
              <w:t xml:space="preserve"> çalışan sağlık çalışanlarına verilen ek ödeme yetersizdir, adaletsiz dağıtıldığı için sağlık çalışanları arasındaki eşitsizliği arttırmıştır, bir kesim de hiç alamamıştır. Eğitim ve araştırma yapması gereken üniversite ve eğitim ve araştırma hastaneleri, döner sermaye geliri için hizmet sunumunu daha da artırmak zorunda kalmıştır. </w:t>
            </w:r>
          </w:p>
          <w:p w:rsidR="00DF4F69" w:rsidRPr="00BB0C8F" w:rsidRDefault="00DF4F69" w:rsidP="00DE34E6">
            <w:pPr>
              <w:spacing w:before="100" w:beforeAutospacing="1" w:after="100" w:afterAutospacing="1" w:line="360" w:lineRule="auto"/>
              <w:rPr>
                <w:rFonts w:ascii="Verdana" w:eastAsia="Times New Roman" w:hAnsi="Verdana" w:cs="Times New Roman"/>
                <w:b/>
                <w:i/>
                <w:lang w:eastAsia="tr-TR"/>
              </w:rPr>
            </w:pPr>
            <w:r w:rsidRPr="00BB0C8F">
              <w:rPr>
                <w:rFonts w:ascii="Verdana" w:eastAsia="Times New Roman" w:hAnsi="Verdana" w:cs="Times New Roman"/>
                <w:b/>
                <w:i/>
                <w:lang w:eastAsia="tr-TR"/>
              </w:rPr>
              <w:lastRenderedPageBreak/>
              <w:t xml:space="preserve">Kamu ve üniversite hastanelerinin tıbbi cihaz üreticisi ve tedarikçisi firmalara borcunun yaklaşık 17 milyar TL’ye ulaştığı ifade edilmektedir. </w:t>
            </w:r>
            <w:bookmarkStart w:id="0" w:name="_GoBack"/>
            <w:bookmarkEnd w:id="0"/>
            <w:r w:rsidRPr="00BB0C8F">
              <w:rPr>
                <w:rFonts w:ascii="Verdana" w:eastAsia="Times New Roman" w:hAnsi="Verdana" w:cs="Times New Roman"/>
                <w:b/>
                <w:i/>
                <w:lang w:eastAsia="tr-TR"/>
              </w:rPr>
              <w:t>Bu rakam, Şehir Hastanelerine 2021 yılında ayrılan bütçe ile eşittir. Sağlık Bakanlığı hastaneleri 17 ay, üniversite hastaneleri ise 36 aydır tıbbi ve medikal üretici ve firmalara ödeme yapamamaktadır.  Şehir hastaneleri şirketlerine bol keseden para aktarılırken, medikal firmalara ödenemeyen borçlar yüzünden malzeme yokluğuna düşen hastaneler yakında ameliyat yapamayacak hale gelebilecektir. Şehir (şirket) hastaneleri yerine başta üniversite hastaneleri olmak üzere tüm hastanelere bütçe ayrılmalı, üniversite hastaneleri borçtan kurtarılmalı, eğitim ve araştırma yapmaları kolaylaştırılmalıdır.</w:t>
            </w:r>
          </w:p>
          <w:p w:rsidR="00DF4F69" w:rsidRPr="00BB0C8F" w:rsidRDefault="00DF4F69" w:rsidP="00DE34E6">
            <w:pPr>
              <w:spacing w:line="360" w:lineRule="auto"/>
              <w:rPr>
                <w:rFonts w:ascii="Verdana" w:hAnsi="Verdana" w:cs="Times New Roman"/>
                <w:b/>
                <w:i/>
              </w:rPr>
            </w:pPr>
            <w:r w:rsidRPr="00BB0C8F">
              <w:rPr>
                <w:rFonts w:ascii="Verdana" w:hAnsi="Verdana" w:cs="Times New Roman"/>
                <w:b/>
                <w:i/>
              </w:rPr>
              <w:t xml:space="preserve">Bu bağlamda Sağlık Bakanlığı’nın 2021 yılı toplam bütçe ödeneklerinin dağılımı çok önemlidir. Çünkü toplam ödeneklerinin yüzde 21’i (16 milyar liradan fazla) şehir hastanelerinin kira bedeli ödemeleri ile </w:t>
            </w:r>
            <w:proofErr w:type="gramStart"/>
            <w:r w:rsidRPr="00BB0C8F">
              <w:rPr>
                <w:rFonts w:ascii="Verdana" w:hAnsi="Verdana" w:cs="Times New Roman"/>
                <w:b/>
                <w:i/>
              </w:rPr>
              <w:t>müteahhitlerden</w:t>
            </w:r>
            <w:proofErr w:type="gramEnd"/>
            <w:r w:rsidRPr="00BB0C8F">
              <w:rPr>
                <w:rFonts w:ascii="Verdana" w:hAnsi="Verdana" w:cs="Times New Roman"/>
                <w:b/>
                <w:i/>
              </w:rPr>
              <w:t xml:space="preserve"> yapılan mal ve hizmet alım bedellerine ayrılmaktadır.  Sağlık Bakanlığı’nın 2021 yılı toplam bütçe sermaye giderlerinin yüzde 53’ü ise </w:t>
            </w:r>
            <w:proofErr w:type="gramStart"/>
            <w:r w:rsidRPr="00BB0C8F">
              <w:rPr>
                <w:rFonts w:ascii="Verdana" w:hAnsi="Verdana" w:cs="Times New Roman"/>
                <w:b/>
                <w:i/>
              </w:rPr>
              <w:t>müteahhitlerden</w:t>
            </w:r>
            <w:proofErr w:type="gramEnd"/>
            <w:r w:rsidRPr="00BB0C8F">
              <w:rPr>
                <w:rFonts w:ascii="Verdana" w:hAnsi="Verdana" w:cs="Times New Roman"/>
                <w:b/>
                <w:i/>
              </w:rPr>
              <w:t xml:space="preserve"> yapılan şehir hastanelerinin kira bedellerine gidecektir. Böylece yeni yatırımı çağrıştıran bu kalemin önemli bir kısmının aslında </w:t>
            </w:r>
            <w:proofErr w:type="gramStart"/>
            <w:r w:rsidRPr="00BB0C8F">
              <w:rPr>
                <w:rFonts w:ascii="Verdana" w:hAnsi="Verdana" w:cs="Times New Roman"/>
                <w:b/>
                <w:i/>
              </w:rPr>
              <w:t>müteahhit</w:t>
            </w:r>
            <w:proofErr w:type="gramEnd"/>
            <w:r w:rsidRPr="00BB0C8F">
              <w:rPr>
                <w:rFonts w:ascii="Verdana" w:hAnsi="Verdana" w:cs="Times New Roman"/>
                <w:b/>
                <w:i/>
              </w:rPr>
              <w:t xml:space="preserve"> ödemelerinden oluştuğu, sağlık alt yapısının güçlendirilmesi ya da ilaç veya aşı üretimi gibi önemli konular için kaynak ayrılmadığı anlaşılmaktadır.  2021 yılı toplam bütçe mal ve hizmet alımı giderlerinin yüzde 30’ü ise şehir hastanelerinin </w:t>
            </w:r>
            <w:proofErr w:type="gramStart"/>
            <w:r w:rsidRPr="00BB0C8F">
              <w:rPr>
                <w:rFonts w:ascii="Verdana" w:hAnsi="Verdana" w:cs="Times New Roman"/>
                <w:b/>
                <w:i/>
              </w:rPr>
              <w:t>müteahhitlerinden</w:t>
            </w:r>
            <w:proofErr w:type="gramEnd"/>
            <w:r w:rsidRPr="00BB0C8F">
              <w:rPr>
                <w:rFonts w:ascii="Verdana" w:hAnsi="Verdana" w:cs="Times New Roman"/>
                <w:b/>
                <w:i/>
              </w:rPr>
              <w:t xml:space="preserve"> yapılan mal ve hizmet alımlarına harcanacaktır.</w:t>
            </w:r>
          </w:p>
          <w:p w:rsidR="00DF4F69" w:rsidRPr="00BB0C8F" w:rsidRDefault="00DF4F69" w:rsidP="00DE34E6">
            <w:pPr>
              <w:spacing w:line="360" w:lineRule="auto"/>
              <w:rPr>
                <w:rFonts w:ascii="Verdana" w:hAnsi="Verdana" w:cs="Times New Roman"/>
                <w:b/>
                <w:i/>
              </w:rPr>
            </w:pPr>
            <w:r w:rsidRPr="00BB0C8F">
              <w:rPr>
                <w:rFonts w:ascii="Verdana" w:hAnsi="Verdana" w:cs="Times New Roman"/>
                <w:b/>
                <w:i/>
              </w:rPr>
              <w:t xml:space="preserve">Bu bütçe, Covid19 salgınına karşı mücadele ile geçecek önümüzdeki 2 yıla dair kamusal mücadele programı içermemektedir. Sağlık Bakanlığı başta olmak üzere salgınla ilişkili diğer bakanlıklar (Ekonomi, Çalışma ve Sosyal Politikalar ve Milli Eğitim gibi)  ödeneklerinin dağılımı böyle bir sorunun siyasal iktidarca yeterince görülmediğini ortaya koymaktadır.  Ayrıca emek gücü ve istihdama ilişkin yapılmaya çalışılan düzenlemeler (işçi ve halk sağlığını iyice bozucu nitelikte olduğundan) bu bütçenin salgınla mücadele gibi bir amacının olmadığı anlaşılmaktadır. </w:t>
            </w:r>
            <w:r w:rsidRPr="00BB0C8F">
              <w:rPr>
                <w:rFonts w:ascii="Verdana" w:eastAsia="Times New Roman" w:hAnsi="Verdana" w:cs="Times New Roman"/>
                <w:b/>
                <w:i/>
                <w:lang w:eastAsia="tr-TR"/>
              </w:rPr>
              <w:t xml:space="preserve">Tedavi Edici Sağlık Hizmetlerinin içinde Covid19 </w:t>
            </w:r>
            <w:proofErr w:type="spellStart"/>
            <w:r w:rsidRPr="00BB0C8F">
              <w:rPr>
                <w:rFonts w:ascii="Verdana" w:eastAsia="Times New Roman" w:hAnsi="Verdana" w:cs="Times New Roman"/>
                <w:b/>
                <w:i/>
                <w:lang w:eastAsia="tr-TR"/>
              </w:rPr>
              <w:t>pandemisine</w:t>
            </w:r>
            <w:proofErr w:type="spellEnd"/>
            <w:r w:rsidRPr="00BB0C8F">
              <w:rPr>
                <w:rFonts w:ascii="Verdana" w:eastAsia="Times New Roman" w:hAnsi="Verdana" w:cs="Times New Roman"/>
                <w:b/>
                <w:i/>
                <w:lang w:eastAsia="tr-TR"/>
              </w:rPr>
              <w:t xml:space="preserve"> sadece bilgi sistemi altyapısı ve teknolojisinin geliştirilmesi olarak yer verilmesi, ayrı bir bütçe ayrılmaması bütçede ki en büyük eksiklik olarak değerlendirilmiştir.  </w:t>
            </w:r>
          </w:p>
          <w:p w:rsidR="00DF4F69" w:rsidRPr="00757D51" w:rsidRDefault="00DF4F69" w:rsidP="00DE34E6">
            <w:pPr>
              <w:spacing w:line="360" w:lineRule="auto"/>
              <w:rPr>
                <w:rFonts w:ascii="Verdana" w:hAnsi="Verdana" w:cs="Times New Roman"/>
              </w:rPr>
            </w:pPr>
            <w:r w:rsidRPr="00757D51">
              <w:rPr>
                <w:rFonts w:ascii="Verdana" w:hAnsi="Verdana" w:cs="Times New Roman"/>
              </w:rPr>
              <w:t xml:space="preserve">İzmir’de </w:t>
            </w:r>
            <w:proofErr w:type="gramStart"/>
            <w:r w:rsidRPr="00757D51">
              <w:rPr>
                <w:rFonts w:ascii="Verdana" w:hAnsi="Verdana" w:cs="Times New Roman"/>
              </w:rPr>
              <w:t>6.8</w:t>
            </w:r>
            <w:proofErr w:type="gramEnd"/>
            <w:r w:rsidRPr="00757D51">
              <w:rPr>
                <w:rFonts w:ascii="Verdana" w:hAnsi="Verdana" w:cs="Times New Roman"/>
              </w:rPr>
              <w:t xml:space="preserve"> şiddetinde yaşanan depreme ve önümüzdeki yıllarda olası her türlü doğal afete rağmen Afet ve Acil Durum Yönetimi Başkanlığı’na Diyanet işleri Başkanlığı’na ayrılan </w:t>
            </w:r>
            <w:r w:rsidRPr="00757D51">
              <w:rPr>
                <w:rFonts w:ascii="Verdana" w:hAnsi="Verdana" w:cs="Times New Roman"/>
              </w:rPr>
              <w:lastRenderedPageBreak/>
              <w:t xml:space="preserve">ödeneğin altıda birinden daha az (2,088 milyar lira) ödeneğin ayrılmış olması siyasal iktidarın doğal afet gerçeğini görmediği göstermektedir.  </w:t>
            </w:r>
          </w:p>
          <w:p w:rsidR="00DF4F69" w:rsidRPr="00BB0C8F" w:rsidRDefault="00DF4F69" w:rsidP="00DE34E6">
            <w:pPr>
              <w:spacing w:after="450" w:line="360" w:lineRule="auto"/>
              <w:rPr>
                <w:rFonts w:ascii="Verdana" w:eastAsia="Times New Roman" w:hAnsi="Verdana" w:cs="Times New Roman"/>
                <w:b/>
                <w:sz w:val="24"/>
                <w:szCs w:val="24"/>
                <w:lang w:eastAsia="tr-TR"/>
              </w:rPr>
            </w:pPr>
            <w:r w:rsidRPr="00BB0C8F">
              <w:rPr>
                <w:rFonts w:ascii="Verdana" w:eastAsia="Times New Roman" w:hAnsi="Verdana" w:cs="Times New Roman"/>
                <w:b/>
                <w:sz w:val="24"/>
                <w:szCs w:val="24"/>
                <w:lang w:eastAsia="tr-TR"/>
              </w:rPr>
              <w:t>B-Ekonomik Sınıflandırmaya Göre Ödenek Teklifleri İcmali</w:t>
            </w:r>
          </w:p>
          <w:p w:rsidR="00DF4F69" w:rsidRPr="00BB0C8F" w:rsidRDefault="00DF4F69" w:rsidP="00DE34E6">
            <w:pPr>
              <w:spacing w:after="450" w:line="360" w:lineRule="auto"/>
              <w:rPr>
                <w:rFonts w:ascii="Verdana" w:eastAsia="Times New Roman" w:hAnsi="Verdana" w:cs="Times New Roman"/>
                <w:b/>
                <w:i/>
                <w:lang w:eastAsia="tr-TR"/>
              </w:rPr>
            </w:pPr>
            <w:proofErr w:type="gramStart"/>
            <w:r w:rsidRPr="00BB0C8F">
              <w:rPr>
                <w:rFonts w:ascii="Verdana" w:eastAsia="Times New Roman" w:hAnsi="Verdana" w:cs="Times New Roman"/>
                <w:b/>
                <w:i/>
                <w:lang w:eastAsia="tr-TR"/>
              </w:rPr>
              <w:t xml:space="preserve">Sağlık Bakanlığının 2021 yılı Ekonomik Sınıflandırmaya Göre Ödenek Teklifleri İcmali’ne bakıldığında; Personel Giderleri 30.725.674.000 TL, </w:t>
            </w:r>
            <w:proofErr w:type="spellStart"/>
            <w:r w:rsidRPr="00BB0C8F">
              <w:rPr>
                <w:rFonts w:ascii="Verdana" w:eastAsia="Times New Roman" w:hAnsi="Verdana" w:cs="Times New Roman"/>
                <w:b/>
                <w:i/>
                <w:lang w:eastAsia="tr-TR"/>
              </w:rPr>
              <w:t>SGK’na</w:t>
            </w:r>
            <w:proofErr w:type="spellEnd"/>
            <w:r w:rsidRPr="00BB0C8F">
              <w:rPr>
                <w:rFonts w:ascii="Verdana" w:eastAsia="Times New Roman" w:hAnsi="Verdana" w:cs="Times New Roman"/>
                <w:b/>
                <w:i/>
                <w:lang w:eastAsia="tr-TR"/>
              </w:rPr>
              <w:t xml:space="preserve"> Devlet Primi Giderleri 23.964.627.000 TL, Cari Transferler 477.383.000 TL, Sermaye Giderleri 18.536.000.000 TL, Sermaye Transferleri 157.544.000 TL, toplamda 77.615.519.000 TL olarak bildirilmiştir. </w:t>
            </w:r>
            <w:proofErr w:type="gramEnd"/>
          </w:p>
          <w:p w:rsidR="00DF4F69" w:rsidRPr="00BB0C8F" w:rsidRDefault="00DF4F69" w:rsidP="00DE34E6">
            <w:pPr>
              <w:spacing w:after="450" w:line="360" w:lineRule="auto"/>
              <w:rPr>
                <w:rFonts w:ascii="Verdana" w:eastAsia="Times New Roman" w:hAnsi="Verdana" w:cs="Times New Roman"/>
                <w:b/>
                <w:i/>
                <w:lang w:eastAsia="tr-TR"/>
              </w:rPr>
            </w:pPr>
            <w:r w:rsidRPr="00BB0C8F">
              <w:rPr>
                <w:rFonts w:ascii="Verdana" w:eastAsia="Times New Roman" w:hAnsi="Verdana" w:cs="Times New Roman"/>
                <w:b/>
                <w:i/>
                <w:lang w:eastAsia="tr-TR"/>
              </w:rPr>
              <w:t xml:space="preserve">2021 bütçesine ekonomik sınıflandırmaya göre bakıldığında en fazla ayrılan payın yüzde </w:t>
            </w:r>
            <w:proofErr w:type="gramStart"/>
            <w:r w:rsidRPr="00BB0C8F">
              <w:rPr>
                <w:rFonts w:ascii="Verdana" w:eastAsia="Times New Roman" w:hAnsi="Verdana" w:cs="Times New Roman"/>
                <w:b/>
                <w:i/>
                <w:lang w:eastAsia="tr-TR"/>
              </w:rPr>
              <w:t>39.5</w:t>
            </w:r>
            <w:proofErr w:type="gramEnd"/>
            <w:r w:rsidRPr="00BB0C8F">
              <w:rPr>
                <w:rFonts w:ascii="Verdana" w:eastAsia="Times New Roman" w:hAnsi="Verdana" w:cs="Times New Roman"/>
                <w:b/>
                <w:i/>
                <w:lang w:eastAsia="tr-TR"/>
              </w:rPr>
              <w:t xml:space="preserve"> ile personel giderleri olduğu görülmektedir. Sağlık Bakanlığı bütçesinde Personel giderlerinin bu kadar fazla olması koruyucu ve kamusal nitelikli bir sağlık hizmeti ve sağlıklı bir toplum oluşturulması açısından mümkün değildir.  Personel giderlerinin bakanlık bütçesinden çıkarılması ile ancak daha gerçekçi ve daha iyi bir sağlık sistemi hazırlamak mümkün olacaktır.</w:t>
            </w:r>
          </w:p>
          <w:p w:rsidR="00DF4F69" w:rsidRPr="00BB0C8F" w:rsidRDefault="00DF4F69" w:rsidP="00DE34E6">
            <w:pPr>
              <w:spacing w:line="360" w:lineRule="auto"/>
              <w:rPr>
                <w:rFonts w:ascii="Verdana" w:eastAsia="Times New Roman" w:hAnsi="Verdana" w:cs="Times New Roman"/>
                <w:b/>
                <w:i/>
                <w:lang w:eastAsia="tr-TR"/>
              </w:rPr>
            </w:pPr>
            <w:r w:rsidRPr="00BB0C8F">
              <w:rPr>
                <w:rFonts w:ascii="Verdana" w:hAnsi="Verdana" w:cs="Times New Roman"/>
                <w:b/>
                <w:i/>
              </w:rPr>
              <w:t xml:space="preserve">Bu payların 2020 yılından bu yana nasıl bir gelişim izlediği de siyasal iktidarın sağlık hizmetlerine nasıl baktığının bir göstergesidir. Koruyucu hizmetlere ayrılan pay sırasıyla:  2020 yılında %26’dan 2021’de %25’e gerilerken, buna karşılık tedavi edici hizmetlerin payı 2020 ve 2021 yılında %69 ile aynı kalmıştır.  Koruyucu sağlık hizmetlerinin aleyhine olan bu durum personele bütçeden ayrılan ödeneklerden de net bir biçimde görülmektedir.  2021 yılında koruyucu hizmetlere ayrılan 19 milyar liralık ödeneğin 3,3 milyar lirası personel için (%17) ayrılırken; 54,6 milyar liralık tedavi edici hizmetler bütçesinde bu sayı 25 milyarın üzerine (%45) çıkmaktadır. </w:t>
            </w:r>
          </w:p>
          <w:p w:rsidR="00DF4F69" w:rsidRPr="00BB0C8F" w:rsidRDefault="00DF4F69" w:rsidP="00DE34E6">
            <w:pPr>
              <w:spacing w:after="450" w:line="360" w:lineRule="auto"/>
              <w:rPr>
                <w:rFonts w:ascii="Verdana" w:eastAsia="Times New Roman" w:hAnsi="Verdana" w:cs="Times New Roman"/>
                <w:b/>
                <w:sz w:val="24"/>
                <w:szCs w:val="24"/>
                <w:lang w:eastAsia="tr-TR"/>
              </w:rPr>
            </w:pPr>
            <w:r w:rsidRPr="00BB0C8F">
              <w:rPr>
                <w:rFonts w:ascii="Verdana" w:eastAsia="Times New Roman" w:hAnsi="Verdana" w:cs="Times New Roman"/>
                <w:b/>
                <w:sz w:val="24"/>
                <w:szCs w:val="24"/>
                <w:lang w:eastAsia="tr-TR"/>
              </w:rPr>
              <w:t xml:space="preserve">C-Yatırım Ödeneklerinin Sektörler İtibarıyla Dağılımı </w:t>
            </w:r>
          </w:p>
          <w:p w:rsidR="00DF4F69" w:rsidRPr="00BB0C8F" w:rsidRDefault="00DF4F69" w:rsidP="00DE34E6">
            <w:pPr>
              <w:spacing w:after="450" w:line="360" w:lineRule="auto"/>
              <w:rPr>
                <w:rFonts w:ascii="Verdana" w:eastAsia="Times New Roman" w:hAnsi="Verdana" w:cs="Times New Roman"/>
                <w:b/>
                <w:i/>
                <w:lang w:eastAsia="tr-TR"/>
              </w:rPr>
            </w:pPr>
            <w:r w:rsidRPr="00BB0C8F">
              <w:rPr>
                <w:rFonts w:ascii="Verdana" w:eastAsia="Times New Roman" w:hAnsi="Verdana" w:cs="Times New Roman"/>
                <w:b/>
                <w:i/>
                <w:lang w:eastAsia="tr-TR"/>
              </w:rPr>
              <w:t xml:space="preserve">Sağlık Bakanlığının 2021 bütçesine yatırım ödenekleri açısından bakıldığında; Bağımlılıkla Mücadele için 45.365.000 TL, Koruyucu Sağlık için 1.998.007.000 TL, Tedavi Edici Sağlık için 16.236.102.000 TL, Yönetim ve Destek Programı için 274.809.000 TL, toplamda 18.554.283.000 TL ayrılmıştır. </w:t>
            </w:r>
          </w:p>
          <w:p w:rsidR="00DF4F69" w:rsidRPr="00BB0C8F" w:rsidRDefault="00DF4F69" w:rsidP="00DE34E6">
            <w:pPr>
              <w:spacing w:after="450" w:line="360" w:lineRule="auto"/>
              <w:rPr>
                <w:rFonts w:ascii="Verdana" w:eastAsia="Times New Roman" w:hAnsi="Verdana" w:cs="Times New Roman"/>
                <w:b/>
                <w:i/>
                <w:lang w:eastAsia="tr-TR"/>
              </w:rPr>
            </w:pPr>
            <w:r w:rsidRPr="00BB0C8F">
              <w:rPr>
                <w:rFonts w:ascii="Verdana" w:eastAsia="Times New Roman" w:hAnsi="Verdana" w:cs="Times New Roman"/>
                <w:b/>
                <w:i/>
                <w:lang w:eastAsia="tr-TR"/>
              </w:rPr>
              <w:lastRenderedPageBreak/>
              <w:t xml:space="preserve">Yatırım ödeneklerinde </w:t>
            </w:r>
            <w:proofErr w:type="spellStart"/>
            <w:r w:rsidRPr="00BB0C8F">
              <w:rPr>
                <w:rFonts w:ascii="Verdana" w:eastAsia="Times New Roman" w:hAnsi="Verdana" w:cs="Times New Roman"/>
                <w:b/>
                <w:i/>
                <w:lang w:eastAsia="tr-TR"/>
              </w:rPr>
              <w:t>pandemi</w:t>
            </w:r>
            <w:proofErr w:type="spellEnd"/>
            <w:r w:rsidRPr="00BB0C8F">
              <w:rPr>
                <w:rFonts w:ascii="Verdana" w:eastAsia="Times New Roman" w:hAnsi="Verdana" w:cs="Times New Roman"/>
                <w:b/>
                <w:i/>
                <w:lang w:eastAsia="tr-TR"/>
              </w:rPr>
              <w:t xml:space="preserve"> süreci göz önüne alındığında halkın nitelikli sağlık hizmeti almak için yeterli olmadığı açıkça bellidir. </w:t>
            </w:r>
          </w:p>
          <w:p w:rsidR="00DF4F69" w:rsidRPr="00A129CB" w:rsidRDefault="00DF4F69" w:rsidP="00DE34E6">
            <w:pPr>
              <w:spacing w:after="450" w:line="360" w:lineRule="auto"/>
              <w:rPr>
                <w:rFonts w:ascii="Verdana" w:eastAsia="Times New Roman" w:hAnsi="Verdana" w:cs="Times New Roman"/>
                <w:b/>
                <w:sz w:val="24"/>
                <w:szCs w:val="24"/>
                <w:u w:val="single"/>
                <w:lang w:eastAsia="tr-TR"/>
              </w:rPr>
            </w:pPr>
            <w:r w:rsidRPr="00A129CB">
              <w:rPr>
                <w:rFonts w:ascii="Verdana" w:eastAsia="Times New Roman" w:hAnsi="Verdana" w:cs="Times New Roman"/>
                <w:b/>
                <w:bCs/>
                <w:sz w:val="24"/>
                <w:szCs w:val="24"/>
                <w:u w:val="single"/>
                <w:lang w:eastAsia="tr-TR"/>
              </w:rPr>
              <w:t>TALEPLERİMİZ</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b/>
                <w:lang w:eastAsia="tr-TR"/>
              </w:rPr>
              <w:t>1-</w:t>
            </w:r>
            <w:r w:rsidRPr="00757D51">
              <w:rPr>
                <w:rFonts w:ascii="Verdana" w:eastAsia="Times New Roman" w:hAnsi="Verdana" w:cs="Times New Roman"/>
                <w:lang w:eastAsia="tr-TR"/>
              </w:rPr>
              <w:t xml:space="preserve">Sağlık Bakanlığı bütçesi </w:t>
            </w:r>
            <w:proofErr w:type="spellStart"/>
            <w:r w:rsidRPr="00757D51">
              <w:rPr>
                <w:rFonts w:ascii="Verdana" w:eastAsia="Times New Roman" w:hAnsi="Verdana" w:cs="Times New Roman"/>
                <w:lang w:eastAsia="tr-TR"/>
              </w:rPr>
              <w:t>pandemi</w:t>
            </w:r>
            <w:proofErr w:type="spellEnd"/>
            <w:r w:rsidRPr="00757D51">
              <w:rPr>
                <w:rFonts w:ascii="Verdana" w:eastAsia="Times New Roman" w:hAnsi="Verdana" w:cs="Times New Roman"/>
                <w:lang w:eastAsia="tr-TR"/>
              </w:rPr>
              <w:t xml:space="preserve"> koşullarına uygun hale getirilmelidir. Tedavi edici değil, koruyucu sağlık hizmetlerinin payı artırılmalıdır. </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b/>
                <w:lang w:eastAsia="tr-TR"/>
              </w:rPr>
              <w:t>2-</w:t>
            </w:r>
            <w:r w:rsidRPr="00757D51">
              <w:rPr>
                <w:rFonts w:ascii="Verdana" w:eastAsia="Times New Roman" w:hAnsi="Verdana" w:cs="Times New Roman"/>
                <w:lang w:eastAsia="tr-TR"/>
              </w:rPr>
              <w:t xml:space="preserve">Sağlık Bakanlığı bütçesi genel bütçenin en az yüzde 10’un üzerinde olmalıdır. </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b/>
                <w:lang w:eastAsia="tr-TR"/>
              </w:rPr>
              <w:t>3-</w:t>
            </w:r>
            <w:r w:rsidRPr="00757D51">
              <w:rPr>
                <w:rFonts w:ascii="Verdana" w:eastAsia="Times New Roman" w:hAnsi="Verdana" w:cs="Times New Roman"/>
                <w:lang w:eastAsia="tr-TR"/>
              </w:rPr>
              <w:t>Genel bütçe gelirleri içinde gelir vergisi</w:t>
            </w:r>
            <w:r w:rsidR="00A00573">
              <w:rPr>
                <w:rFonts w:ascii="Verdana" w:eastAsia="Times New Roman" w:hAnsi="Verdana" w:cs="Times New Roman"/>
                <w:lang w:eastAsia="tr-TR"/>
              </w:rPr>
              <w:t>nin</w:t>
            </w:r>
            <w:r w:rsidRPr="00757D51">
              <w:rPr>
                <w:rFonts w:ascii="Verdana" w:eastAsia="Times New Roman" w:hAnsi="Verdana" w:cs="Times New Roman"/>
                <w:lang w:eastAsia="tr-TR"/>
              </w:rPr>
              <w:t xml:space="preserve"> payı zenginlerden ve kurumlardan olacak şekilde artırılmalıdır. Özellikle önümüzdeki yıllar için servet vergisi uygulaması düşünülmelidir. Dolaylı vergiler temel gıda, elektrik, su, ulaşım gibi ihtiyaçlar üzerinden kaldırılmalı ya da azaltılmalı. </w:t>
            </w:r>
            <w:r w:rsidR="00A129CB">
              <w:rPr>
                <w:rFonts w:ascii="Verdana" w:eastAsia="Times New Roman" w:hAnsi="Verdana" w:cs="Times New Roman"/>
                <w:lang w:eastAsia="tr-TR"/>
              </w:rPr>
              <w:t xml:space="preserve">Asgari ücret üzerinden gelir vergisi alınmamalıdır. </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b/>
                <w:lang w:eastAsia="tr-TR"/>
              </w:rPr>
              <w:t>4-</w:t>
            </w:r>
            <w:r w:rsidRPr="00757D51">
              <w:rPr>
                <w:rFonts w:ascii="Verdana" w:eastAsia="Times New Roman" w:hAnsi="Verdana" w:cs="Times New Roman"/>
                <w:lang w:eastAsia="tr-TR"/>
              </w:rPr>
              <w:t xml:space="preserve"> Şehir/şirket hastaneleri statüsünden vazgeçilerek kamuya bağlı devlet hastanelerine dönüştürülmeli, ödenen </w:t>
            </w:r>
            <w:r w:rsidR="00A129CB">
              <w:rPr>
                <w:rFonts w:ascii="Verdana" w:eastAsia="Times New Roman" w:hAnsi="Verdana" w:cs="Times New Roman"/>
                <w:lang w:eastAsia="tr-TR"/>
              </w:rPr>
              <w:t xml:space="preserve">dolar üzerinden </w:t>
            </w:r>
            <w:r w:rsidR="00A00573" w:rsidRPr="00757D51">
              <w:rPr>
                <w:rFonts w:ascii="Verdana" w:eastAsia="Times New Roman" w:hAnsi="Verdana" w:cs="Times New Roman"/>
                <w:lang w:eastAsia="tr-TR"/>
              </w:rPr>
              <w:t>fahi</w:t>
            </w:r>
            <w:r w:rsidR="00A00573">
              <w:rPr>
                <w:rFonts w:ascii="Verdana" w:eastAsia="Times New Roman" w:hAnsi="Verdana" w:cs="Times New Roman"/>
                <w:lang w:eastAsia="tr-TR"/>
              </w:rPr>
              <w:t xml:space="preserve">ş </w:t>
            </w:r>
            <w:r>
              <w:rPr>
                <w:rFonts w:ascii="Verdana" w:eastAsia="Times New Roman" w:hAnsi="Verdana" w:cs="Times New Roman"/>
                <w:lang w:eastAsia="tr-TR"/>
              </w:rPr>
              <w:t>kiralardan vaz</w:t>
            </w:r>
            <w:r w:rsidRPr="00757D51">
              <w:rPr>
                <w:rFonts w:ascii="Verdana" w:eastAsia="Times New Roman" w:hAnsi="Verdana" w:cs="Times New Roman"/>
                <w:lang w:eastAsia="tr-TR"/>
              </w:rPr>
              <w:t xml:space="preserve">geçilmelidir. </w:t>
            </w:r>
          </w:p>
          <w:p w:rsidR="00ED1D65"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b/>
                <w:lang w:eastAsia="tr-TR"/>
              </w:rPr>
              <w:t>5-</w:t>
            </w:r>
            <w:r w:rsidRPr="00757D51">
              <w:rPr>
                <w:rFonts w:ascii="Verdana" w:eastAsia="Times New Roman" w:hAnsi="Verdana" w:cs="Times New Roman"/>
                <w:lang w:eastAsia="tr-TR"/>
              </w:rPr>
              <w:t xml:space="preserve">Son yıllarda giderek azalan genel bütçe </w:t>
            </w:r>
            <w:proofErr w:type="gramStart"/>
            <w:r w:rsidRPr="00757D51">
              <w:rPr>
                <w:rFonts w:ascii="Verdana" w:eastAsia="Times New Roman" w:hAnsi="Verdana" w:cs="Times New Roman"/>
                <w:lang w:eastAsia="tr-TR"/>
              </w:rPr>
              <w:t>yıl sonu</w:t>
            </w:r>
            <w:proofErr w:type="gramEnd"/>
            <w:r w:rsidRPr="00757D51">
              <w:rPr>
                <w:rFonts w:ascii="Verdana" w:eastAsia="Times New Roman" w:hAnsi="Verdana" w:cs="Times New Roman"/>
                <w:lang w:eastAsia="tr-TR"/>
              </w:rPr>
              <w:t xml:space="preserve"> ödeneğinin Gayri Safi Yurtiçi Gelir içindeki payı yeniden artırılmalı, yüzde 40’ın altında olmamalıdır. </w:t>
            </w:r>
          </w:p>
          <w:p w:rsidR="00DF4F69" w:rsidRPr="00757D51" w:rsidRDefault="00ED1D65" w:rsidP="00DE34E6">
            <w:pPr>
              <w:spacing w:after="450" w:line="360" w:lineRule="auto"/>
              <w:rPr>
                <w:rFonts w:ascii="Verdana" w:eastAsia="Times New Roman" w:hAnsi="Verdana" w:cs="Times New Roman"/>
                <w:lang w:eastAsia="tr-TR"/>
              </w:rPr>
            </w:pPr>
            <w:r w:rsidRPr="00ED1D65">
              <w:rPr>
                <w:rFonts w:ascii="Verdana" w:eastAsia="Times New Roman" w:hAnsi="Verdana" w:cs="Times New Roman"/>
                <w:b/>
                <w:lang w:eastAsia="tr-TR"/>
              </w:rPr>
              <w:t>6-</w:t>
            </w:r>
            <w:r>
              <w:rPr>
                <w:rFonts w:ascii="Verdana" w:eastAsia="Times New Roman" w:hAnsi="Verdana" w:cs="Times New Roman"/>
                <w:lang w:eastAsia="tr-TR"/>
              </w:rPr>
              <w:t xml:space="preserve"> </w:t>
            </w:r>
            <w:r w:rsidR="00DF4F69" w:rsidRPr="00757D51">
              <w:rPr>
                <w:rFonts w:ascii="Verdana" w:eastAsia="Times New Roman" w:hAnsi="Verdana" w:cs="Times New Roman"/>
                <w:lang w:eastAsia="tr-TR"/>
              </w:rPr>
              <w:t xml:space="preserve">Bütçeden personel giderleri çıkarılarak, sağlık hizmetlerine aktarılmalıdır. </w:t>
            </w:r>
          </w:p>
          <w:p w:rsidR="00DF4F69" w:rsidRDefault="00ED1D65" w:rsidP="00DE34E6">
            <w:pPr>
              <w:spacing w:after="450" w:line="360" w:lineRule="auto"/>
              <w:rPr>
                <w:rFonts w:ascii="Verdana" w:eastAsia="Times New Roman" w:hAnsi="Verdana" w:cs="Times New Roman"/>
                <w:lang w:eastAsia="tr-TR"/>
              </w:rPr>
            </w:pPr>
            <w:r w:rsidRPr="00ED1D65">
              <w:rPr>
                <w:rFonts w:ascii="Verdana" w:eastAsia="Times New Roman" w:hAnsi="Verdana" w:cs="Times New Roman"/>
                <w:b/>
                <w:lang w:eastAsia="tr-TR"/>
              </w:rPr>
              <w:t>7-</w:t>
            </w:r>
            <w:r>
              <w:rPr>
                <w:rFonts w:ascii="Verdana" w:eastAsia="Times New Roman" w:hAnsi="Verdana" w:cs="Times New Roman"/>
                <w:lang w:eastAsia="tr-TR"/>
              </w:rPr>
              <w:t xml:space="preserve"> </w:t>
            </w:r>
            <w:r w:rsidR="00DF4F69" w:rsidRPr="00757D51">
              <w:rPr>
                <w:rFonts w:ascii="Verdana" w:eastAsia="Times New Roman" w:hAnsi="Verdana" w:cs="Times New Roman"/>
                <w:lang w:eastAsia="tr-TR"/>
              </w:rPr>
              <w:t xml:space="preserve">Sağlık hizmetleri harcamalarında merkezi devlet harcamalarının payı artırılmalı, SGK ve hane halkları harcamalarının payı azaltılmalı, </w:t>
            </w:r>
            <w:proofErr w:type="spellStart"/>
            <w:r w:rsidR="00DF4F69" w:rsidRPr="00757D51">
              <w:rPr>
                <w:rFonts w:ascii="Verdana" w:eastAsia="Times New Roman" w:hAnsi="Verdana" w:cs="Times New Roman"/>
                <w:lang w:eastAsia="tr-TR"/>
              </w:rPr>
              <w:t>SGK’ye</w:t>
            </w:r>
            <w:proofErr w:type="spellEnd"/>
            <w:r w:rsidR="00DF4F69" w:rsidRPr="00757D51">
              <w:rPr>
                <w:rFonts w:ascii="Verdana" w:eastAsia="Times New Roman" w:hAnsi="Verdana" w:cs="Times New Roman"/>
                <w:lang w:eastAsia="tr-TR"/>
              </w:rPr>
              <w:t xml:space="preserve"> genel bütçeden aktarılan pay artırılmalıdır. </w:t>
            </w:r>
            <w:proofErr w:type="spellStart"/>
            <w:r w:rsidR="00DF4F69" w:rsidRPr="00757D51">
              <w:rPr>
                <w:rFonts w:ascii="Verdana" w:eastAsia="Times New Roman" w:hAnsi="Verdana" w:cs="Times New Roman"/>
                <w:lang w:eastAsia="tr-TR"/>
              </w:rPr>
              <w:t>SGK’nın</w:t>
            </w:r>
            <w:proofErr w:type="spellEnd"/>
            <w:r w:rsidR="00DF4F69" w:rsidRPr="00757D51">
              <w:rPr>
                <w:rFonts w:ascii="Verdana" w:eastAsia="Times New Roman" w:hAnsi="Verdana" w:cs="Times New Roman"/>
                <w:lang w:eastAsia="tr-TR"/>
              </w:rPr>
              <w:t xml:space="preserve"> özel hastanelere yaptığı ödemeler azaltılmalıdır. </w:t>
            </w:r>
          </w:p>
          <w:p w:rsidR="00A129CB" w:rsidRPr="00757D51" w:rsidRDefault="00ED1D65" w:rsidP="00DE34E6">
            <w:pPr>
              <w:spacing w:after="450" w:line="360" w:lineRule="auto"/>
              <w:rPr>
                <w:rFonts w:ascii="Verdana" w:eastAsia="Times New Roman" w:hAnsi="Verdana" w:cs="Times New Roman"/>
                <w:lang w:eastAsia="tr-TR"/>
              </w:rPr>
            </w:pPr>
            <w:r>
              <w:rPr>
                <w:rFonts w:ascii="Verdana" w:eastAsia="Times New Roman" w:hAnsi="Verdana" w:cs="Times New Roman"/>
                <w:b/>
                <w:lang w:eastAsia="tr-TR"/>
              </w:rPr>
              <w:t xml:space="preserve">8- </w:t>
            </w:r>
            <w:r w:rsidR="00A129CB">
              <w:rPr>
                <w:rFonts w:ascii="Verdana" w:eastAsia="Times New Roman" w:hAnsi="Verdana" w:cs="Times New Roman"/>
                <w:lang w:eastAsia="tr-TR"/>
              </w:rPr>
              <w:t xml:space="preserve"> Ekonomide ki krizi aşmak için çözüm olarak “acı reçete” </w:t>
            </w:r>
            <w:r w:rsidR="001A1966">
              <w:rPr>
                <w:rFonts w:ascii="Verdana" w:eastAsia="Times New Roman" w:hAnsi="Verdana" w:cs="Times New Roman"/>
                <w:lang w:eastAsia="tr-TR"/>
              </w:rPr>
              <w:t>çıkışının</w:t>
            </w:r>
            <w:r w:rsidR="00A129CB">
              <w:rPr>
                <w:rFonts w:ascii="Verdana" w:eastAsia="Times New Roman" w:hAnsi="Verdana" w:cs="Times New Roman"/>
                <w:lang w:eastAsia="tr-TR"/>
              </w:rPr>
              <w:t xml:space="preserve"> yerine resmi kurumlara alınan araç filolarından, kiralanan konutlardan, “itibar” denil</w:t>
            </w:r>
            <w:r w:rsidR="001A1966">
              <w:rPr>
                <w:rFonts w:ascii="Verdana" w:eastAsia="Times New Roman" w:hAnsi="Verdana" w:cs="Times New Roman"/>
                <w:lang w:eastAsia="tr-TR"/>
              </w:rPr>
              <w:t>en aşırı ve lüks tüketimden vaz</w:t>
            </w:r>
            <w:r w:rsidR="00A129CB">
              <w:rPr>
                <w:rFonts w:ascii="Verdana" w:eastAsia="Times New Roman" w:hAnsi="Verdana" w:cs="Times New Roman"/>
                <w:lang w:eastAsia="tr-TR"/>
              </w:rPr>
              <w:t xml:space="preserve">geçilmelidir. </w:t>
            </w:r>
          </w:p>
          <w:p w:rsidR="00DF4F69" w:rsidRPr="00757D51" w:rsidRDefault="00DF4F69" w:rsidP="00DE34E6">
            <w:pPr>
              <w:spacing w:after="450" w:line="360" w:lineRule="auto"/>
              <w:rPr>
                <w:rFonts w:ascii="Verdana" w:eastAsia="Times New Roman" w:hAnsi="Verdana" w:cs="Times New Roman"/>
                <w:lang w:eastAsia="tr-TR"/>
              </w:rPr>
            </w:pPr>
            <w:r w:rsidRPr="00757D51">
              <w:rPr>
                <w:rFonts w:ascii="Verdana" w:eastAsia="Times New Roman" w:hAnsi="Verdana" w:cs="Times New Roman"/>
                <w:lang w:eastAsia="tr-TR"/>
              </w:rPr>
              <w:t>Saygılarımızla</w:t>
            </w:r>
          </w:p>
          <w:p w:rsidR="00DF4F69" w:rsidRDefault="00DF4F69" w:rsidP="00DE34E6">
            <w:pPr>
              <w:spacing w:after="450" w:line="360" w:lineRule="auto"/>
              <w:rPr>
                <w:rFonts w:ascii="Verdana" w:eastAsia="Times New Roman" w:hAnsi="Verdana" w:cs="Times New Roman"/>
                <w:bCs/>
                <w:lang w:eastAsia="tr-TR"/>
              </w:rPr>
            </w:pPr>
            <w:r w:rsidRPr="00757D51">
              <w:rPr>
                <w:rFonts w:ascii="Verdana" w:eastAsia="Times New Roman" w:hAnsi="Verdana" w:cs="Times New Roman"/>
                <w:bCs/>
                <w:lang w:eastAsia="tr-TR"/>
              </w:rPr>
              <w:lastRenderedPageBreak/>
              <w:t>Türk Tabipleri Birliği Merkez Konseyi</w:t>
            </w:r>
          </w:p>
          <w:p w:rsidR="001A1966" w:rsidRPr="00B77D0F" w:rsidRDefault="001A1966" w:rsidP="00DE34E6">
            <w:pPr>
              <w:spacing w:after="450" w:line="360" w:lineRule="auto"/>
              <w:rPr>
                <w:rFonts w:ascii="Verdana" w:eastAsia="Times New Roman" w:hAnsi="Verdana" w:cs="Times New Roman"/>
                <w:bCs/>
                <w:i/>
                <w:sz w:val="20"/>
                <w:szCs w:val="20"/>
                <w:lang w:eastAsia="tr-TR"/>
              </w:rPr>
            </w:pPr>
            <w:r w:rsidRPr="00B77D0F">
              <w:rPr>
                <w:rFonts w:ascii="Verdana" w:eastAsia="Times New Roman" w:hAnsi="Verdana" w:cs="Times New Roman"/>
                <w:bCs/>
                <w:i/>
                <w:sz w:val="20"/>
                <w:szCs w:val="20"/>
                <w:lang w:eastAsia="tr-TR"/>
              </w:rPr>
              <w:t xml:space="preserve">Hacı Bayram Veli Üniversitesi, İktisadi İdari Bilimler Fakültesi Maliye Bölümü’nden Prof Dr Mustafa </w:t>
            </w:r>
            <w:proofErr w:type="spellStart"/>
            <w:r w:rsidRPr="00B77D0F">
              <w:rPr>
                <w:rFonts w:ascii="Verdana" w:eastAsia="Times New Roman" w:hAnsi="Verdana" w:cs="Times New Roman"/>
                <w:bCs/>
                <w:i/>
                <w:sz w:val="20"/>
                <w:szCs w:val="20"/>
                <w:lang w:eastAsia="tr-TR"/>
              </w:rPr>
              <w:t>Durmuş’a</w:t>
            </w:r>
            <w:proofErr w:type="spellEnd"/>
            <w:r w:rsidRPr="00B77D0F">
              <w:rPr>
                <w:rFonts w:ascii="Verdana" w:eastAsia="Times New Roman" w:hAnsi="Verdana" w:cs="Times New Roman"/>
                <w:bCs/>
                <w:i/>
                <w:sz w:val="20"/>
                <w:szCs w:val="20"/>
                <w:lang w:eastAsia="tr-TR"/>
              </w:rPr>
              <w:t xml:space="preserve"> katkılarından dolayı teşekkür ederiz. </w:t>
            </w:r>
          </w:p>
          <w:p w:rsidR="001A1966" w:rsidRPr="00757D51" w:rsidRDefault="001A1966" w:rsidP="00DE34E6">
            <w:pPr>
              <w:spacing w:after="450" w:line="360" w:lineRule="auto"/>
              <w:rPr>
                <w:rFonts w:ascii="Verdana" w:eastAsia="Times New Roman" w:hAnsi="Verdana" w:cs="Times New Roman"/>
                <w:lang w:eastAsia="tr-TR"/>
              </w:rPr>
            </w:pPr>
            <w:r w:rsidRPr="00B77D0F">
              <w:rPr>
                <w:rFonts w:ascii="Verdana" w:eastAsia="Times New Roman" w:hAnsi="Verdana" w:cs="Times New Roman"/>
                <w:bCs/>
                <w:i/>
                <w:sz w:val="20"/>
                <w:szCs w:val="20"/>
                <w:lang w:eastAsia="tr-TR"/>
              </w:rPr>
              <w:t xml:space="preserve">Onur </w:t>
            </w:r>
            <w:proofErr w:type="spellStart"/>
            <w:r w:rsidRPr="00B77D0F">
              <w:rPr>
                <w:rFonts w:ascii="Verdana" w:eastAsia="Times New Roman" w:hAnsi="Verdana" w:cs="Times New Roman"/>
                <w:bCs/>
                <w:i/>
                <w:sz w:val="20"/>
                <w:szCs w:val="20"/>
                <w:lang w:eastAsia="tr-TR"/>
              </w:rPr>
              <w:t>Hamzaoğlu</w:t>
            </w:r>
            <w:proofErr w:type="spellEnd"/>
            <w:r w:rsidRPr="00B77D0F">
              <w:rPr>
                <w:rFonts w:ascii="Verdana" w:eastAsia="Times New Roman" w:hAnsi="Verdana" w:cs="Times New Roman"/>
                <w:bCs/>
                <w:i/>
                <w:sz w:val="20"/>
                <w:szCs w:val="20"/>
                <w:lang w:eastAsia="tr-TR"/>
              </w:rPr>
              <w:t>. Bütçe 2019 ve Sağlık. Toplum ve Hekim 2018; 33 (6)</w:t>
            </w:r>
          </w:p>
        </w:tc>
        <w:tc>
          <w:tcPr>
            <w:tcW w:w="20" w:type="dxa"/>
            <w:shd w:val="clear" w:color="auto" w:fill="FFFFFF"/>
            <w:hideMark/>
          </w:tcPr>
          <w:p w:rsidR="00DF4F69" w:rsidRPr="00757D51" w:rsidRDefault="00DF4F69" w:rsidP="00DE34E6">
            <w:pPr>
              <w:spacing w:after="0" w:line="360" w:lineRule="auto"/>
              <w:rPr>
                <w:rFonts w:ascii="Verdana" w:eastAsia="Times New Roman" w:hAnsi="Verdana" w:cs="Times New Roman"/>
                <w:lang w:eastAsia="tr-TR"/>
              </w:rPr>
            </w:pPr>
          </w:p>
        </w:tc>
      </w:tr>
    </w:tbl>
    <w:p w:rsidR="00672075" w:rsidRPr="00DF4F69" w:rsidRDefault="001403C7" w:rsidP="00DF4F69">
      <w:pPr>
        <w:rPr>
          <w:szCs w:val="28"/>
        </w:rPr>
      </w:pPr>
    </w:p>
    <w:sectPr w:rsidR="00672075" w:rsidRPr="00DF4F69" w:rsidSect="00371E8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FF" w:rsidRDefault="00EF69FF" w:rsidP="00EF69FF">
      <w:pPr>
        <w:spacing w:after="0" w:line="240" w:lineRule="auto"/>
      </w:pPr>
      <w:r>
        <w:separator/>
      </w:r>
    </w:p>
  </w:endnote>
  <w:endnote w:type="continuationSeparator" w:id="0">
    <w:p w:rsidR="00EF69FF" w:rsidRDefault="00EF69FF" w:rsidP="00EF6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99"/>
      <w:docPartObj>
        <w:docPartGallery w:val="Page Numbers (Bottom of Page)"/>
        <w:docPartUnique/>
      </w:docPartObj>
    </w:sdtPr>
    <w:sdtContent>
      <w:p w:rsidR="00ED1D65" w:rsidRDefault="00ED1D65">
        <w:pPr>
          <w:pStyle w:val="Altbilgi"/>
          <w:jc w:val="center"/>
        </w:pPr>
        <w:fldSimple w:instr=" PAGE   \* MERGEFORMAT ">
          <w:r w:rsidR="001403C7">
            <w:rPr>
              <w:noProof/>
            </w:rPr>
            <w:t>10</w:t>
          </w:r>
        </w:fldSimple>
      </w:p>
    </w:sdtContent>
  </w:sdt>
  <w:p w:rsidR="00ED1D65" w:rsidRDefault="00ED1D6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FF" w:rsidRDefault="00EF69FF" w:rsidP="00EF69FF">
      <w:pPr>
        <w:spacing w:after="0" w:line="240" w:lineRule="auto"/>
      </w:pPr>
      <w:r>
        <w:separator/>
      </w:r>
    </w:p>
  </w:footnote>
  <w:footnote w:type="continuationSeparator" w:id="0">
    <w:p w:rsidR="00EF69FF" w:rsidRDefault="00EF69FF" w:rsidP="00EF69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15E6C"/>
    <w:multiLevelType w:val="multilevel"/>
    <w:tmpl w:val="367C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25B95"/>
    <w:multiLevelType w:val="multilevel"/>
    <w:tmpl w:val="5D38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336B0"/>
    <w:rsid w:val="00000026"/>
    <w:rsid w:val="00022D61"/>
    <w:rsid w:val="000267B2"/>
    <w:rsid w:val="00027D87"/>
    <w:rsid w:val="000713B2"/>
    <w:rsid w:val="000728DC"/>
    <w:rsid w:val="00077601"/>
    <w:rsid w:val="000A3C10"/>
    <w:rsid w:val="000E6B50"/>
    <w:rsid w:val="000F618F"/>
    <w:rsid w:val="001403C7"/>
    <w:rsid w:val="00143001"/>
    <w:rsid w:val="0016461F"/>
    <w:rsid w:val="00167440"/>
    <w:rsid w:val="00181794"/>
    <w:rsid w:val="00183C7D"/>
    <w:rsid w:val="0018749B"/>
    <w:rsid w:val="00197A19"/>
    <w:rsid w:val="001A1966"/>
    <w:rsid w:val="001B4BDB"/>
    <w:rsid w:val="001D1BEA"/>
    <w:rsid w:val="002016E2"/>
    <w:rsid w:val="00214BA5"/>
    <w:rsid w:val="0022350C"/>
    <w:rsid w:val="0022540B"/>
    <w:rsid w:val="00255387"/>
    <w:rsid w:val="0028039C"/>
    <w:rsid w:val="0028572B"/>
    <w:rsid w:val="002B2397"/>
    <w:rsid w:val="002B4430"/>
    <w:rsid w:val="002C4528"/>
    <w:rsid w:val="002D7706"/>
    <w:rsid w:val="0033091A"/>
    <w:rsid w:val="00340C0F"/>
    <w:rsid w:val="003613B6"/>
    <w:rsid w:val="00370BF2"/>
    <w:rsid w:val="00371E8F"/>
    <w:rsid w:val="00373CAF"/>
    <w:rsid w:val="00375E31"/>
    <w:rsid w:val="00392889"/>
    <w:rsid w:val="003945F7"/>
    <w:rsid w:val="00395C49"/>
    <w:rsid w:val="003E0A38"/>
    <w:rsid w:val="003F7E4C"/>
    <w:rsid w:val="00413CB0"/>
    <w:rsid w:val="0042113A"/>
    <w:rsid w:val="00441796"/>
    <w:rsid w:val="00447A70"/>
    <w:rsid w:val="00450FD6"/>
    <w:rsid w:val="00451C89"/>
    <w:rsid w:val="0045275A"/>
    <w:rsid w:val="00464503"/>
    <w:rsid w:val="00485EFB"/>
    <w:rsid w:val="00491A8D"/>
    <w:rsid w:val="00494B00"/>
    <w:rsid w:val="004A3B1F"/>
    <w:rsid w:val="005006EF"/>
    <w:rsid w:val="00516BE4"/>
    <w:rsid w:val="0052510C"/>
    <w:rsid w:val="00544A95"/>
    <w:rsid w:val="00556BF3"/>
    <w:rsid w:val="00564AEC"/>
    <w:rsid w:val="005E40A0"/>
    <w:rsid w:val="005F4DE6"/>
    <w:rsid w:val="0062170F"/>
    <w:rsid w:val="0063769A"/>
    <w:rsid w:val="0067241A"/>
    <w:rsid w:val="00697FE3"/>
    <w:rsid w:val="006A097A"/>
    <w:rsid w:val="006F304E"/>
    <w:rsid w:val="00702091"/>
    <w:rsid w:val="00716EEF"/>
    <w:rsid w:val="00720DE3"/>
    <w:rsid w:val="00730560"/>
    <w:rsid w:val="00757D51"/>
    <w:rsid w:val="00792D8B"/>
    <w:rsid w:val="007C1813"/>
    <w:rsid w:val="00826717"/>
    <w:rsid w:val="00843080"/>
    <w:rsid w:val="008A3CC9"/>
    <w:rsid w:val="008B497C"/>
    <w:rsid w:val="008D316B"/>
    <w:rsid w:val="008D6BE5"/>
    <w:rsid w:val="00951A72"/>
    <w:rsid w:val="009B6C9F"/>
    <w:rsid w:val="009E0137"/>
    <w:rsid w:val="00A00573"/>
    <w:rsid w:val="00A06D4D"/>
    <w:rsid w:val="00A129CB"/>
    <w:rsid w:val="00A232E4"/>
    <w:rsid w:val="00A32FBA"/>
    <w:rsid w:val="00A8155A"/>
    <w:rsid w:val="00A94A69"/>
    <w:rsid w:val="00B01F7B"/>
    <w:rsid w:val="00B30262"/>
    <w:rsid w:val="00B57D47"/>
    <w:rsid w:val="00B7342C"/>
    <w:rsid w:val="00B77D0F"/>
    <w:rsid w:val="00B824B6"/>
    <w:rsid w:val="00B85B6B"/>
    <w:rsid w:val="00BB0C8F"/>
    <w:rsid w:val="00BB5407"/>
    <w:rsid w:val="00BC09E4"/>
    <w:rsid w:val="00C05DDD"/>
    <w:rsid w:val="00C15163"/>
    <w:rsid w:val="00C66BBC"/>
    <w:rsid w:val="00C86A87"/>
    <w:rsid w:val="00CA3ADD"/>
    <w:rsid w:val="00CA52E3"/>
    <w:rsid w:val="00CC1F96"/>
    <w:rsid w:val="00D15129"/>
    <w:rsid w:val="00D15D7A"/>
    <w:rsid w:val="00D61A3F"/>
    <w:rsid w:val="00D871A9"/>
    <w:rsid w:val="00D87B10"/>
    <w:rsid w:val="00DC0C69"/>
    <w:rsid w:val="00DC6FE3"/>
    <w:rsid w:val="00DD0905"/>
    <w:rsid w:val="00DD71D9"/>
    <w:rsid w:val="00DE35BC"/>
    <w:rsid w:val="00DF4F69"/>
    <w:rsid w:val="00E12A9C"/>
    <w:rsid w:val="00E23DE7"/>
    <w:rsid w:val="00E247EB"/>
    <w:rsid w:val="00E37D2C"/>
    <w:rsid w:val="00E53085"/>
    <w:rsid w:val="00E62A1D"/>
    <w:rsid w:val="00E87EFD"/>
    <w:rsid w:val="00EA6296"/>
    <w:rsid w:val="00ED1D65"/>
    <w:rsid w:val="00EF69FF"/>
    <w:rsid w:val="00F05297"/>
    <w:rsid w:val="00F273A4"/>
    <w:rsid w:val="00F336B0"/>
    <w:rsid w:val="00F46D39"/>
    <w:rsid w:val="00F64808"/>
    <w:rsid w:val="00F86E40"/>
    <w:rsid w:val="00FA6116"/>
    <w:rsid w:val="00FC3EB6"/>
    <w:rsid w:val="00FC6742"/>
    <w:rsid w:val="00FD0A06"/>
    <w:rsid w:val="00FE16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36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6B0"/>
    <w:rPr>
      <w:rFonts w:ascii="Tahoma" w:hAnsi="Tahoma" w:cs="Tahoma"/>
      <w:sz w:val="16"/>
      <w:szCs w:val="16"/>
    </w:rPr>
  </w:style>
  <w:style w:type="paragraph" w:styleId="stbilgi">
    <w:name w:val="header"/>
    <w:basedOn w:val="Normal"/>
    <w:link w:val="stbilgiChar"/>
    <w:uiPriority w:val="99"/>
    <w:semiHidden/>
    <w:unhideWhenUsed/>
    <w:rsid w:val="00EF69F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F69FF"/>
  </w:style>
  <w:style w:type="paragraph" w:styleId="Altbilgi">
    <w:name w:val="footer"/>
    <w:basedOn w:val="Normal"/>
    <w:link w:val="AltbilgiChar"/>
    <w:uiPriority w:val="99"/>
    <w:unhideWhenUsed/>
    <w:rsid w:val="00EF69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36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426045">
      <w:bodyDiv w:val="1"/>
      <w:marLeft w:val="0"/>
      <w:marRight w:val="0"/>
      <w:marTop w:val="0"/>
      <w:marBottom w:val="0"/>
      <w:divBdr>
        <w:top w:val="none" w:sz="0" w:space="0" w:color="auto"/>
        <w:left w:val="none" w:sz="0" w:space="0" w:color="auto"/>
        <w:bottom w:val="none" w:sz="0" w:space="0" w:color="auto"/>
        <w:right w:val="none" w:sz="0" w:space="0" w:color="auto"/>
      </w:divBdr>
    </w:div>
    <w:div w:id="1100415626">
      <w:bodyDiv w:val="1"/>
      <w:marLeft w:val="0"/>
      <w:marRight w:val="0"/>
      <w:marTop w:val="0"/>
      <w:marBottom w:val="0"/>
      <w:divBdr>
        <w:top w:val="none" w:sz="0" w:space="0" w:color="auto"/>
        <w:left w:val="none" w:sz="0" w:space="0" w:color="auto"/>
        <w:bottom w:val="none" w:sz="0" w:space="0" w:color="auto"/>
        <w:right w:val="none" w:sz="0" w:space="0" w:color="auto"/>
      </w:divBdr>
      <w:divsChild>
        <w:div w:id="1031686044">
          <w:marLeft w:val="0"/>
          <w:marRight w:val="0"/>
          <w:marTop w:val="0"/>
          <w:marBottom w:val="0"/>
          <w:divBdr>
            <w:top w:val="none" w:sz="0" w:space="0" w:color="auto"/>
            <w:left w:val="none" w:sz="0" w:space="0" w:color="auto"/>
            <w:bottom w:val="none" w:sz="0" w:space="0" w:color="auto"/>
            <w:right w:val="none" w:sz="0" w:space="0" w:color="auto"/>
          </w:divBdr>
          <w:divsChild>
            <w:div w:id="1469979668">
              <w:marLeft w:val="0"/>
              <w:marRight w:val="0"/>
              <w:marTop w:val="0"/>
              <w:marBottom w:val="0"/>
              <w:divBdr>
                <w:top w:val="none" w:sz="0" w:space="0" w:color="auto"/>
                <w:left w:val="none" w:sz="0" w:space="0" w:color="auto"/>
                <w:bottom w:val="none" w:sz="0" w:space="0" w:color="auto"/>
                <w:right w:val="none" w:sz="0" w:space="0" w:color="auto"/>
              </w:divBdr>
              <w:divsChild>
                <w:div w:id="1918049775">
                  <w:marLeft w:val="0"/>
                  <w:marRight w:val="0"/>
                  <w:marTop w:val="0"/>
                  <w:marBottom w:val="0"/>
                  <w:divBdr>
                    <w:top w:val="none" w:sz="0" w:space="0" w:color="auto"/>
                    <w:left w:val="none" w:sz="0" w:space="0" w:color="auto"/>
                    <w:bottom w:val="none" w:sz="0" w:space="0" w:color="auto"/>
                    <w:right w:val="none" w:sz="0" w:space="0" w:color="auto"/>
                  </w:divBdr>
                  <w:divsChild>
                    <w:div w:id="1605113443">
                      <w:marLeft w:val="0"/>
                      <w:marRight w:val="0"/>
                      <w:marTop w:val="0"/>
                      <w:marBottom w:val="0"/>
                      <w:divBdr>
                        <w:top w:val="none" w:sz="0" w:space="0" w:color="auto"/>
                        <w:left w:val="none" w:sz="0" w:space="0" w:color="auto"/>
                        <w:bottom w:val="none" w:sz="0" w:space="0" w:color="auto"/>
                        <w:right w:val="none" w:sz="0" w:space="0" w:color="auto"/>
                      </w:divBdr>
                      <w:divsChild>
                        <w:div w:id="887953459">
                          <w:marLeft w:val="0"/>
                          <w:marRight w:val="0"/>
                          <w:marTop w:val="0"/>
                          <w:marBottom w:val="0"/>
                          <w:divBdr>
                            <w:top w:val="none" w:sz="0" w:space="0" w:color="auto"/>
                            <w:left w:val="none" w:sz="0" w:space="0" w:color="auto"/>
                            <w:bottom w:val="none" w:sz="0" w:space="0" w:color="auto"/>
                            <w:right w:val="none" w:sz="0" w:space="0" w:color="auto"/>
                          </w:divBdr>
                          <w:divsChild>
                            <w:div w:id="1673948546">
                              <w:marLeft w:val="0"/>
                              <w:marRight w:val="0"/>
                              <w:marTop w:val="0"/>
                              <w:marBottom w:val="0"/>
                              <w:divBdr>
                                <w:top w:val="none" w:sz="0" w:space="0" w:color="auto"/>
                                <w:left w:val="none" w:sz="0" w:space="0" w:color="auto"/>
                                <w:bottom w:val="none" w:sz="0" w:space="0" w:color="auto"/>
                                <w:right w:val="none" w:sz="0" w:space="0" w:color="auto"/>
                              </w:divBdr>
                              <w:divsChild>
                                <w:div w:id="711534240">
                                  <w:marLeft w:val="0"/>
                                  <w:marRight w:val="0"/>
                                  <w:marTop w:val="0"/>
                                  <w:marBottom w:val="0"/>
                                  <w:divBdr>
                                    <w:top w:val="none" w:sz="0" w:space="0" w:color="auto"/>
                                    <w:left w:val="none" w:sz="0" w:space="0" w:color="auto"/>
                                    <w:bottom w:val="none" w:sz="0" w:space="0" w:color="auto"/>
                                    <w:right w:val="none" w:sz="0" w:space="0" w:color="auto"/>
                                  </w:divBdr>
                                  <w:divsChild>
                                    <w:div w:id="2133084566">
                                      <w:marLeft w:val="0"/>
                                      <w:marRight w:val="0"/>
                                      <w:marTop w:val="0"/>
                                      <w:marBottom w:val="0"/>
                                      <w:divBdr>
                                        <w:top w:val="none" w:sz="0" w:space="0" w:color="auto"/>
                                        <w:left w:val="none" w:sz="0" w:space="0" w:color="auto"/>
                                        <w:bottom w:val="none" w:sz="0" w:space="0" w:color="auto"/>
                                        <w:right w:val="none" w:sz="0" w:space="0" w:color="auto"/>
                                      </w:divBdr>
                                      <w:divsChild>
                                        <w:div w:id="1987852786">
                                          <w:marLeft w:val="0"/>
                                          <w:marRight w:val="0"/>
                                          <w:marTop w:val="0"/>
                                          <w:marBottom w:val="0"/>
                                          <w:divBdr>
                                            <w:top w:val="none" w:sz="0" w:space="0" w:color="auto"/>
                                            <w:left w:val="none" w:sz="0" w:space="0" w:color="auto"/>
                                            <w:bottom w:val="none" w:sz="0" w:space="0" w:color="auto"/>
                                            <w:right w:val="none" w:sz="0" w:space="0" w:color="auto"/>
                                          </w:divBdr>
                                          <w:divsChild>
                                            <w:div w:id="879322259">
                                              <w:marLeft w:val="0"/>
                                              <w:marRight w:val="0"/>
                                              <w:marTop w:val="0"/>
                                              <w:marBottom w:val="0"/>
                                              <w:divBdr>
                                                <w:top w:val="none" w:sz="0" w:space="0" w:color="auto"/>
                                                <w:left w:val="none" w:sz="0" w:space="0" w:color="auto"/>
                                                <w:bottom w:val="none" w:sz="0" w:space="0" w:color="auto"/>
                                                <w:right w:val="none" w:sz="0" w:space="0" w:color="auto"/>
                                              </w:divBdr>
                                              <w:divsChild>
                                                <w:div w:id="1146773852">
                                                  <w:marLeft w:val="0"/>
                                                  <w:marRight w:val="0"/>
                                                  <w:marTop w:val="0"/>
                                                  <w:marBottom w:val="0"/>
                                                  <w:divBdr>
                                                    <w:top w:val="none" w:sz="0" w:space="0" w:color="auto"/>
                                                    <w:left w:val="none" w:sz="0" w:space="0" w:color="auto"/>
                                                    <w:bottom w:val="none" w:sz="0" w:space="0" w:color="auto"/>
                                                    <w:right w:val="none" w:sz="0" w:space="0" w:color="auto"/>
                                                  </w:divBdr>
                                                  <w:divsChild>
                                                    <w:div w:id="979383341">
                                                      <w:marLeft w:val="0"/>
                                                      <w:marRight w:val="0"/>
                                                      <w:marTop w:val="0"/>
                                                      <w:marBottom w:val="0"/>
                                                      <w:divBdr>
                                                        <w:top w:val="none" w:sz="0" w:space="0" w:color="auto"/>
                                                        <w:left w:val="none" w:sz="0" w:space="0" w:color="auto"/>
                                                        <w:bottom w:val="none" w:sz="0" w:space="0" w:color="auto"/>
                                                        <w:right w:val="none" w:sz="0" w:space="0" w:color="auto"/>
                                                      </w:divBdr>
                                                      <w:divsChild>
                                                        <w:div w:id="854227951">
                                                          <w:marLeft w:val="0"/>
                                                          <w:marRight w:val="0"/>
                                                          <w:marTop w:val="0"/>
                                                          <w:marBottom w:val="0"/>
                                                          <w:divBdr>
                                                            <w:top w:val="none" w:sz="0" w:space="0" w:color="auto"/>
                                                            <w:left w:val="none" w:sz="0" w:space="0" w:color="auto"/>
                                                            <w:bottom w:val="none" w:sz="0" w:space="0" w:color="auto"/>
                                                            <w:right w:val="none" w:sz="0" w:space="0" w:color="auto"/>
                                                          </w:divBdr>
                                                          <w:divsChild>
                                                            <w:div w:id="1352682172">
                                                              <w:marLeft w:val="0"/>
                                                              <w:marRight w:val="0"/>
                                                              <w:marTop w:val="0"/>
                                                              <w:marBottom w:val="0"/>
                                                              <w:divBdr>
                                                                <w:top w:val="none" w:sz="0" w:space="0" w:color="auto"/>
                                                                <w:left w:val="none" w:sz="0" w:space="0" w:color="auto"/>
                                                                <w:bottom w:val="none" w:sz="0" w:space="0" w:color="auto"/>
                                                                <w:right w:val="none" w:sz="0" w:space="0" w:color="auto"/>
                                                              </w:divBdr>
                                                              <w:divsChild>
                                                                <w:div w:id="1481850393">
                                                                  <w:marLeft w:val="0"/>
                                                                  <w:marRight w:val="0"/>
                                                                  <w:marTop w:val="0"/>
                                                                  <w:marBottom w:val="0"/>
                                                                  <w:divBdr>
                                                                    <w:top w:val="none" w:sz="0" w:space="0" w:color="auto"/>
                                                                    <w:left w:val="none" w:sz="0" w:space="0" w:color="auto"/>
                                                                    <w:bottom w:val="none" w:sz="0" w:space="0" w:color="auto"/>
                                                                    <w:right w:val="none" w:sz="0" w:space="0" w:color="auto"/>
                                                                  </w:divBdr>
                                                                  <w:divsChild>
                                                                    <w:div w:id="1774662899">
                                                                      <w:marLeft w:val="0"/>
                                                                      <w:marRight w:val="0"/>
                                                                      <w:marTop w:val="0"/>
                                                                      <w:marBottom w:val="0"/>
                                                                      <w:divBdr>
                                                                        <w:top w:val="none" w:sz="0" w:space="0" w:color="auto"/>
                                                                        <w:left w:val="none" w:sz="0" w:space="0" w:color="auto"/>
                                                                        <w:bottom w:val="none" w:sz="0" w:space="0" w:color="auto"/>
                                                                        <w:right w:val="none" w:sz="0" w:space="0" w:color="auto"/>
                                                                      </w:divBdr>
                                                                      <w:divsChild>
                                                                        <w:div w:id="26756173">
                                                                          <w:marLeft w:val="0"/>
                                                                          <w:marRight w:val="0"/>
                                                                          <w:marTop w:val="0"/>
                                                                          <w:marBottom w:val="0"/>
                                                                          <w:divBdr>
                                                                            <w:top w:val="none" w:sz="0" w:space="0" w:color="auto"/>
                                                                            <w:left w:val="none" w:sz="0" w:space="0" w:color="auto"/>
                                                                            <w:bottom w:val="none" w:sz="0" w:space="0" w:color="auto"/>
                                                                            <w:right w:val="none" w:sz="0" w:space="0" w:color="auto"/>
                                                                          </w:divBdr>
                                                                          <w:divsChild>
                                                                            <w:div w:id="462503076">
                                                                              <w:marLeft w:val="0"/>
                                                                              <w:marRight w:val="0"/>
                                                                              <w:marTop w:val="0"/>
                                                                              <w:marBottom w:val="0"/>
                                                                              <w:divBdr>
                                                                                <w:top w:val="none" w:sz="0" w:space="0" w:color="auto"/>
                                                                                <w:left w:val="none" w:sz="0" w:space="0" w:color="auto"/>
                                                                                <w:bottom w:val="none" w:sz="0" w:space="0" w:color="auto"/>
                                                                                <w:right w:val="none" w:sz="0" w:space="0" w:color="auto"/>
                                                                              </w:divBdr>
                                                                              <w:divsChild>
                                                                                <w:div w:id="1485390370">
                                                                                  <w:marLeft w:val="0"/>
                                                                                  <w:marRight w:val="0"/>
                                                                                  <w:marTop w:val="0"/>
                                                                                  <w:marBottom w:val="0"/>
                                                                                  <w:divBdr>
                                                                                    <w:top w:val="none" w:sz="0" w:space="0" w:color="auto"/>
                                                                                    <w:left w:val="none" w:sz="0" w:space="0" w:color="auto"/>
                                                                                    <w:bottom w:val="none" w:sz="0" w:space="0" w:color="auto"/>
                                                                                    <w:right w:val="none" w:sz="0" w:space="0" w:color="auto"/>
                                                                                  </w:divBdr>
                                                                                  <w:divsChild>
                                                                                    <w:div w:id="855071803">
                                                                                      <w:marLeft w:val="0"/>
                                                                                      <w:marRight w:val="0"/>
                                                                                      <w:marTop w:val="0"/>
                                                                                      <w:marBottom w:val="0"/>
                                                                                      <w:divBdr>
                                                                                        <w:top w:val="none" w:sz="0" w:space="0" w:color="auto"/>
                                                                                        <w:left w:val="none" w:sz="0" w:space="0" w:color="auto"/>
                                                                                        <w:bottom w:val="none" w:sz="0" w:space="0" w:color="auto"/>
                                                                                        <w:right w:val="none" w:sz="0" w:space="0" w:color="auto"/>
                                                                                      </w:divBdr>
                                                                                      <w:divsChild>
                                                                                        <w:div w:id="406267667">
                                                                                          <w:marLeft w:val="0"/>
                                                                                          <w:marRight w:val="240"/>
                                                                                          <w:marTop w:val="0"/>
                                                                                          <w:marBottom w:val="0"/>
                                                                                          <w:divBdr>
                                                                                            <w:top w:val="none" w:sz="0" w:space="0" w:color="auto"/>
                                                                                            <w:left w:val="none" w:sz="0" w:space="0" w:color="auto"/>
                                                                                            <w:bottom w:val="none" w:sz="0" w:space="0" w:color="auto"/>
                                                                                            <w:right w:val="none" w:sz="0" w:space="0" w:color="auto"/>
                                                                                          </w:divBdr>
                                                                                          <w:divsChild>
                                                                                            <w:div w:id="429934871">
                                                                                              <w:marLeft w:val="0"/>
                                                                                              <w:marRight w:val="0"/>
                                                                                              <w:marTop w:val="0"/>
                                                                                              <w:marBottom w:val="0"/>
                                                                                              <w:divBdr>
                                                                                                <w:top w:val="none" w:sz="0" w:space="0" w:color="auto"/>
                                                                                                <w:left w:val="none" w:sz="0" w:space="0" w:color="auto"/>
                                                                                                <w:bottom w:val="none" w:sz="0" w:space="0" w:color="auto"/>
                                                                                                <w:right w:val="none" w:sz="0" w:space="0" w:color="auto"/>
                                                                                              </w:divBdr>
                                                                                              <w:divsChild>
                                                                                                <w:div w:id="1231884440">
                                                                                                  <w:marLeft w:val="0"/>
                                                                                                  <w:marRight w:val="0"/>
                                                                                                  <w:marTop w:val="0"/>
                                                                                                  <w:marBottom w:val="0"/>
                                                                                                  <w:divBdr>
                                                                                                    <w:top w:val="none" w:sz="0" w:space="0" w:color="auto"/>
                                                                                                    <w:left w:val="none" w:sz="0" w:space="0" w:color="auto"/>
                                                                                                    <w:bottom w:val="none" w:sz="0" w:space="0" w:color="auto"/>
                                                                                                    <w:right w:val="none" w:sz="0" w:space="0" w:color="auto"/>
                                                                                                  </w:divBdr>
                                                                                                  <w:divsChild>
                                                                                                    <w:div w:id="1608850412">
                                                                                                      <w:marLeft w:val="0"/>
                                                                                                      <w:marRight w:val="0"/>
                                                                                                      <w:marTop w:val="0"/>
                                                                                                      <w:marBottom w:val="0"/>
                                                                                                      <w:divBdr>
                                                                                                        <w:top w:val="none" w:sz="0" w:space="0" w:color="auto"/>
                                                                                                        <w:left w:val="none" w:sz="0" w:space="0" w:color="auto"/>
                                                                                                        <w:bottom w:val="none" w:sz="0" w:space="0" w:color="auto"/>
                                                                                                        <w:right w:val="none" w:sz="0" w:space="0" w:color="auto"/>
                                                                                                      </w:divBdr>
                                                                                                      <w:divsChild>
                                                                                                        <w:div w:id="21758348">
                                                                                                          <w:marLeft w:val="0"/>
                                                                                                          <w:marRight w:val="0"/>
                                                                                                          <w:marTop w:val="0"/>
                                                                                                          <w:marBottom w:val="0"/>
                                                                                                          <w:divBdr>
                                                                                                            <w:top w:val="none" w:sz="0" w:space="0" w:color="auto"/>
                                                                                                            <w:left w:val="none" w:sz="0" w:space="0" w:color="auto"/>
                                                                                                            <w:bottom w:val="none" w:sz="0" w:space="0" w:color="auto"/>
                                                                                                            <w:right w:val="none" w:sz="0" w:space="0" w:color="auto"/>
                                                                                                          </w:divBdr>
                                                                                                          <w:divsChild>
                                                                                                            <w:div w:id="1983339450">
                                                                                                              <w:marLeft w:val="0"/>
                                                                                                              <w:marRight w:val="0"/>
                                                                                                              <w:marTop w:val="0"/>
                                                                                                              <w:marBottom w:val="0"/>
                                                                                                              <w:divBdr>
                                                                                                                <w:top w:val="single" w:sz="2" w:space="0" w:color="EFEFEF"/>
                                                                                                                <w:left w:val="none" w:sz="0" w:space="0" w:color="auto"/>
                                                                                                                <w:bottom w:val="none" w:sz="0" w:space="0" w:color="auto"/>
                                                                                                                <w:right w:val="none" w:sz="0" w:space="0" w:color="auto"/>
                                                                                                              </w:divBdr>
                                                                                                              <w:divsChild>
                                                                                                                <w:div w:id="1476948659">
                                                                                                                  <w:marLeft w:val="0"/>
                                                                                                                  <w:marRight w:val="0"/>
                                                                                                                  <w:marTop w:val="0"/>
                                                                                                                  <w:marBottom w:val="0"/>
                                                                                                                  <w:divBdr>
                                                                                                                    <w:top w:val="none" w:sz="0" w:space="0" w:color="auto"/>
                                                                                                                    <w:left w:val="none" w:sz="0" w:space="0" w:color="auto"/>
                                                                                                                    <w:bottom w:val="none" w:sz="0" w:space="0" w:color="auto"/>
                                                                                                                    <w:right w:val="none" w:sz="0" w:space="0" w:color="auto"/>
                                                                                                                  </w:divBdr>
                                                                                                                  <w:divsChild>
                                                                                                                    <w:div w:id="1722559997">
                                                                                                                      <w:marLeft w:val="0"/>
                                                                                                                      <w:marRight w:val="0"/>
                                                                                                                      <w:marTop w:val="0"/>
                                                                                                                      <w:marBottom w:val="0"/>
                                                                                                                      <w:divBdr>
                                                                                                                        <w:top w:val="none" w:sz="0" w:space="0" w:color="auto"/>
                                                                                                                        <w:left w:val="none" w:sz="0" w:space="0" w:color="auto"/>
                                                                                                                        <w:bottom w:val="none" w:sz="0" w:space="0" w:color="auto"/>
                                                                                                                        <w:right w:val="none" w:sz="0" w:space="0" w:color="auto"/>
                                                                                                                      </w:divBdr>
                                                                                                                      <w:divsChild>
                                                                                                                        <w:div w:id="521018783">
                                                                                                                          <w:marLeft w:val="0"/>
                                                                                                                          <w:marRight w:val="0"/>
                                                                                                                          <w:marTop w:val="0"/>
                                                                                                                          <w:marBottom w:val="0"/>
                                                                                                                          <w:divBdr>
                                                                                                                            <w:top w:val="none" w:sz="0" w:space="0" w:color="auto"/>
                                                                                                                            <w:left w:val="none" w:sz="0" w:space="0" w:color="auto"/>
                                                                                                                            <w:bottom w:val="none" w:sz="0" w:space="0" w:color="auto"/>
                                                                                                                            <w:right w:val="none" w:sz="0" w:space="0" w:color="auto"/>
                                                                                                                          </w:divBdr>
                                                                                                                          <w:divsChild>
                                                                                                                            <w:div w:id="1918395586">
                                                                                                                              <w:marLeft w:val="0"/>
                                                                                                                              <w:marRight w:val="0"/>
                                                                                                                              <w:marTop w:val="0"/>
                                                                                                                              <w:marBottom w:val="0"/>
                                                                                                                              <w:divBdr>
                                                                                                                                <w:top w:val="none" w:sz="0" w:space="0" w:color="auto"/>
                                                                                                                                <w:left w:val="none" w:sz="0" w:space="0" w:color="auto"/>
                                                                                                                                <w:bottom w:val="none" w:sz="0" w:space="0" w:color="auto"/>
                                                                                                                                <w:right w:val="none" w:sz="0" w:space="0" w:color="auto"/>
                                                                                                                              </w:divBdr>
                                                                                                                              <w:divsChild>
                                                                                                                                <w:div w:id="1661927547">
                                                                                                                                  <w:marLeft w:val="0"/>
                                                                                                                                  <w:marRight w:val="0"/>
                                                                                                                                  <w:marTop w:val="0"/>
                                                                                                                                  <w:marBottom w:val="0"/>
                                                                                                                                  <w:divBdr>
                                                                                                                                    <w:top w:val="none" w:sz="0" w:space="0" w:color="auto"/>
                                                                                                                                    <w:left w:val="none" w:sz="0" w:space="0" w:color="auto"/>
                                                                                                                                    <w:bottom w:val="none" w:sz="0" w:space="0" w:color="auto"/>
                                                                                                                                    <w:right w:val="none" w:sz="0" w:space="0" w:color="auto"/>
                                                                                                                                  </w:divBdr>
                                                                                                                                  <w:divsChild>
                                                                                                                                    <w:div w:id="1223642560">
                                                                                                                                      <w:marLeft w:val="0"/>
                                                                                                                                      <w:marRight w:val="0"/>
                                                                                                                                      <w:marTop w:val="0"/>
                                                                                                                                      <w:marBottom w:val="0"/>
                                                                                                                                      <w:divBdr>
                                                                                                                                        <w:top w:val="none" w:sz="0" w:space="0" w:color="auto"/>
                                                                                                                                        <w:left w:val="none" w:sz="0" w:space="0" w:color="auto"/>
                                                                                                                                        <w:bottom w:val="none" w:sz="0" w:space="0" w:color="auto"/>
                                                                                                                                        <w:right w:val="none" w:sz="0" w:space="0" w:color="auto"/>
                                                                                                                                      </w:divBdr>
                                                                                                                                      <w:divsChild>
                                                                                                                                        <w:div w:id="246111160">
                                                                                                                                          <w:marLeft w:val="0"/>
                                                                                                                                          <w:marRight w:val="0"/>
                                                                                                                                          <w:marTop w:val="120"/>
                                                                                                                                          <w:marBottom w:val="0"/>
                                                                                                                                          <w:divBdr>
                                                                                                                                            <w:top w:val="none" w:sz="0" w:space="0" w:color="auto"/>
                                                                                                                                            <w:left w:val="none" w:sz="0" w:space="0" w:color="auto"/>
                                                                                                                                            <w:bottom w:val="none" w:sz="0" w:space="0" w:color="auto"/>
                                                                                                                                            <w:right w:val="none" w:sz="0" w:space="0" w:color="auto"/>
                                                                                                                                          </w:divBdr>
                                                                                                                                          <w:divsChild>
                                                                                                                                            <w:div w:id="1818912208">
                                                                                                                                              <w:marLeft w:val="0"/>
                                                                                                                                              <w:marRight w:val="0"/>
                                                                                                                                              <w:marTop w:val="0"/>
                                                                                                                                              <w:marBottom w:val="0"/>
                                                                                                                                              <w:divBdr>
                                                                                                                                                <w:top w:val="none" w:sz="0" w:space="0" w:color="auto"/>
                                                                                                                                                <w:left w:val="none" w:sz="0" w:space="0" w:color="auto"/>
                                                                                                                                                <w:bottom w:val="none" w:sz="0" w:space="0" w:color="auto"/>
                                                                                                                                                <w:right w:val="none" w:sz="0" w:space="0" w:color="auto"/>
                                                                                                                                              </w:divBdr>
                                                                                                                                              <w:divsChild>
                                                                                                                                                <w:div w:id="1004086167">
                                                                                                                                                  <w:marLeft w:val="0"/>
                                                                                                                                                  <w:marRight w:val="0"/>
                                                                                                                                                  <w:marTop w:val="0"/>
                                                                                                                                                  <w:marBottom w:val="0"/>
                                                                                                                                                  <w:divBdr>
                                                                                                                                                    <w:top w:val="none" w:sz="0" w:space="0" w:color="auto"/>
                                                                                                                                                    <w:left w:val="none" w:sz="0" w:space="0" w:color="auto"/>
                                                                                                                                                    <w:bottom w:val="none" w:sz="0" w:space="0" w:color="auto"/>
                                                                                                                                                    <w:right w:val="none" w:sz="0" w:space="0" w:color="auto"/>
                                                                                                                                                  </w:divBdr>
                                                                                                                                                  <w:divsChild>
                                                                                                                                                    <w:div w:id="2074427058">
                                                                                                                                                      <w:marLeft w:val="0"/>
                                                                                                                                                      <w:marRight w:val="0"/>
                                                                                                                                                      <w:marTop w:val="0"/>
                                                                                                                                                      <w:marBottom w:val="0"/>
                                                                                                                                                      <w:divBdr>
                                                                                                                                                        <w:top w:val="none" w:sz="0" w:space="0" w:color="auto"/>
                                                                                                                                                        <w:left w:val="none" w:sz="0" w:space="0" w:color="auto"/>
                                                                                                                                                        <w:bottom w:val="none" w:sz="0" w:space="0" w:color="auto"/>
                                                                                                                                                        <w:right w:val="none" w:sz="0" w:space="0" w:color="auto"/>
                                                                                                                                                      </w:divBdr>
                                                                                                                                                    </w:div>
                                                                                                                                                    <w:div w:id="12790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703451">
                                                                                                                              <w:marLeft w:val="0"/>
                                                                                                                              <w:marRight w:val="0"/>
                                                                                                                              <w:marTop w:val="0"/>
                                                                                                                              <w:marBottom w:val="0"/>
                                                                                                                              <w:divBdr>
                                                                                                                                <w:top w:val="none" w:sz="0" w:space="0" w:color="auto"/>
                                                                                                                                <w:left w:val="none" w:sz="0" w:space="0" w:color="auto"/>
                                                                                                                                <w:bottom w:val="none" w:sz="0" w:space="0" w:color="auto"/>
                                                                                                                                <w:right w:val="none" w:sz="0" w:space="0" w:color="auto"/>
                                                                                                                              </w:divBdr>
                                                                                                                              <w:divsChild>
                                                                                                                                <w:div w:id="639768813">
                                                                                                                                  <w:marLeft w:val="0"/>
                                                                                                                                  <w:marRight w:val="0"/>
                                                                                                                                  <w:marTop w:val="0"/>
                                                                                                                                  <w:marBottom w:val="0"/>
                                                                                                                                  <w:divBdr>
                                                                                                                                    <w:top w:val="none" w:sz="0" w:space="0" w:color="auto"/>
                                                                                                                                    <w:left w:val="none" w:sz="0" w:space="0" w:color="auto"/>
                                                                                                                                    <w:bottom w:val="none" w:sz="0" w:space="0" w:color="auto"/>
                                                                                                                                    <w:right w:val="none" w:sz="0" w:space="0" w:color="auto"/>
                                                                                                                                  </w:divBdr>
                                                                                                                                  <w:divsChild>
                                                                                                                                    <w:div w:id="728574900">
                                                                                                                                      <w:marLeft w:val="0"/>
                                                                                                                                      <w:marRight w:val="0"/>
                                                                                                                                      <w:marTop w:val="0"/>
                                                                                                                                      <w:marBottom w:val="0"/>
                                                                                                                                      <w:divBdr>
                                                                                                                                        <w:top w:val="none" w:sz="0" w:space="0" w:color="auto"/>
                                                                                                                                        <w:left w:val="none" w:sz="0" w:space="0" w:color="auto"/>
                                                                                                                                        <w:bottom w:val="none" w:sz="0" w:space="0" w:color="auto"/>
                                                                                                                                        <w:right w:val="none" w:sz="0" w:space="0" w:color="auto"/>
                                                                                                                                      </w:divBdr>
                                                                                                                                      <w:divsChild>
                                                                                                                                        <w:div w:id="1201354870">
                                                                                                                                          <w:marLeft w:val="0"/>
                                                                                                                                          <w:marRight w:val="0"/>
                                                                                                                                          <w:marTop w:val="0"/>
                                                                                                                                          <w:marBottom w:val="0"/>
                                                                                                                                          <w:divBdr>
                                                                                                                                            <w:top w:val="none" w:sz="0" w:space="0" w:color="auto"/>
                                                                                                                                            <w:left w:val="none" w:sz="0" w:space="0" w:color="auto"/>
                                                                                                                                            <w:bottom w:val="none" w:sz="0" w:space="0" w:color="auto"/>
                                                                                                                                            <w:right w:val="none" w:sz="0" w:space="0" w:color="auto"/>
                                                                                                                                          </w:divBdr>
                                                                                                                                          <w:divsChild>
                                                                                                                                            <w:div w:id="737676302">
                                                                                                                                              <w:marLeft w:val="0"/>
                                                                                                                                              <w:marRight w:val="0"/>
                                                                                                                                              <w:marTop w:val="0"/>
                                                                                                                                              <w:marBottom w:val="0"/>
                                                                                                                                              <w:divBdr>
                                                                                                                                                <w:top w:val="none" w:sz="0" w:space="0" w:color="auto"/>
                                                                                                                                                <w:left w:val="none" w:sz="0" w:space="0" w:color="auto"/>
                                                                                                                                                <w:bottom w:val="none" w:sz="0" w:space="0" w:color="auto"/>
                                                                                                                                                <w:right w:val="none" w:sz="0" w:space="0" w:color="auto"/>
                                                                                                                                              </w:divBdr>
                                                                                                                                              <w:divsChild>
                                                                                                                                                <w:div w:id="9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3017</Words>
  <Characters>17199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SONY</cp:lastModifiedBy>
  <cp:revision>14</cp:revision>
  <dcterms:created xsi:type="dcterms:W3CDTF">2020-11-10T11:58:00Z</dcterms:created>
  <dcterms:modified xsi:type="dcterms:W3CDTF">2020-11-16T07:56:00Z</dcterms:modified>
</cp:coreProperties>
</file>