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F6F4B" w14:textId="2B49FB5C" w:rsidR="00331D9E" w:rsidRPr="00D65F0E" w:rsidRDefault="67E44B50" w:rsidP="47108F29">
      <w:pPr>
        <w:pStyle w:val="Balk1"/>
        <w:jc w:val="center"/>
        <w:rPr>
          <w:rFonts w:ascii="Calibri Light" w:eastAsia="Calibri Light" w:hAnsi="Calibri Light" w:cs="Calibri Light"/>
          <w:color w:val="000000" w:themeColor="text1"/>
          <w:sz w:val="52"/>
          <w:szCs w:val="52"/>
        </w:rPr>
      </w:pPr>
      <w:r w:rsidRPr="00D65F0E">
        <w:rPr>
          <w:rFonts w:ascii="Calibri Light" w:eastAsia="Calibri Light" w:hAnsi="Calibri Light" w:cs="Calibri Light"/>
          <w:b/>
          <w:bCs/>
          <w:color w:val="000000" w:themeColor="text1"/>
          <w:sz w:val="52"/>
          <w:szCs w:val="52"/>
        </w:rPr>
        <w:t xml:space="preserve">Türk Tabipleri Birliği </w:t>
      </w:r>
    </w:p>
    <w:p w14:paraId="67FEDC8D" w14:textId="20838F0D" w:rsidR="00331D9E" w:rsidRPr="00D65F0E" w:rsidRDefault="67E44B50" w:rsidP="47108F29">
      <w:pPr>
        <w:pStyle w:val="Balk1"/>
        <w:jc w:val="center"/>
        <w:rPr>
          <w:rFonts w:ascii="Calibri Light" w:eastAsia="Calibri Light" w:hAnsi="Calibri Light" w:cs="Calibri Light"/>
          <w:color w:val="000000" w:themeColor="text1"/>
          <w:sz w:val="52"/>
          <w:szCs w:val="52"/>
        </w:rPr>
      </w:pPr>
      <w:r w:rsidRPr="00D65F0E">
        <w:rPr>
          <w:rFonts w:ascii="Calibri Light" w:eastAsia="Calibri Light" w:hAnsi="Calibri Light" w:cs="Calibri Light"/>
          <w:b/>
          <w:bCs/>
          <w:color w:val="000000" w:themeColor="text1"/>
          <w:sz w:val="52"/>
          <w:szCs w:val="52"/>
        </w:rPr>
        <w:t>Aile Hekimliği Kolu</w:t>
      </w:r>
    </w:p>
    <w:p w14:paraId="54406966" w14:textId="5E295C96" w:rsidR="00331D9E" w:rsidRPr="00D65F0E" w:rsidRDefault="67E44B50" w:rsidP="47108F29">
      <w:pPr>
        <w:pStyle w:val="Balk1"/>
        <w:jc w:val="center"/>
        <w:rPr>
          <w:rFonts w:ascii="Calibri Light" w:eastAsia="Calibri Light" w:hAnsi="Calibri Light" w:cs="Calibri Light"/>
          <w:color w:val="000000" w:themeColor="text1"/>
          <w:sz w:val="52"/>
          <w:szCs w:val="52"/>
        </w:rPr>
      </w:pPr>
      <w:r w:rsidRPr="00D65F0E">
        <w:rPr>
          <w:rFonts w:ascii="Calibri Light" w:eastAsia="Calibri Light" w:hAnsi="Calibri Light" w:cs="Calibri Light"/>
          <w:b/>
          <w:bCs/>
          <w:color w:val="000000" w:themeColor="text1"/>
          <w:sz w:val="52"/>
          <w:szCs w:val="52"/>
        </w:rPr>
        <w:t xml:space="preserve">Aile Hekimliğinde </w:t>
      </w:r>
      <w:proofErr w:type="spellStart"/>
      <w:r w:rsidRPr="00D65F0E">
        <w:rPr>
          <w:rFonts w:ascii="Calibri Light" w:eastAsia="Calibri Light" w:hAnsi="Calibri Light" w:cs="Calibri Light"/>
          <w:b/>
          <w:bCs/>
          <w:color w:val="000000" w:themeColor="text1"/>
          <w:sz w:val="52"/>
          <w:szCs w:val="52"/>
        </w:rPr>
        <w:t>Pandemi</w:t>
      </w:r>
      <w:proofErr w:type="spellEnd"/>
      <w:r w:rsidRPr="00D65F0E">
        <w:rPr>
          <w:rFonts w:ascii="Calibri Light" w:eastAsia="Calibri Light" w:hAnsi="Calibri Light" w:cs="Calibri Light"/>
          <w:b/>
          <w:bCs/>
          <w:color w:val="000000" w:themeColor="text1"/>
          <w:sz w:val="52"/>
          <w:szCs w:val="52"/>
        </w:rPr>
        <w:t xml:space="preserve"> Süreci </w:t>
      </w:r>
    </w:p>
    <w:p w14:paraId="0FAFF6EB" w14:textId="0338BD19" w:rsidR="00331D9E" w:rsidRPr="00D65F0E" w:rsidRDefault="000C111B" w:rsidP="47108F29">
      <w:pPr>
        <w:pStyle w:val="Balk1"/>
        <w:jc w:val="center"/>
        <w:rPr>
          <w:rFonts w:ascii="Calibri Light" w:eastAsia="Calibri Light" w:hAnsi="Calibri Light" w:cs="Calibri Light"/>
          <w:color w:val="000000" w:themeColor="text1"/>
          <w:sz w:val="52"/>
          <w:szCs w:val="52"/>
        </w:rPr>
      </w:pPr>
      <w:r w:rsidRPr="00D65F0E">
        <w:rPr>
          <w:rFonts w:ascii="Calibri Light" w:eastAsia="Calibri Light" w:hAnsi="Calibri Light" w:cs="Calibri Light"/>
          <w:b/>
          <w:bCs/>
          <w:color w:val="000000" w:themeColor="text1"/>
          <w:sz w:val="52"/>
          <w:szCs w:val="52"/>
        </w:rPr>
        <w:t>9-14</w:t>
      </w:r>
      <w:r w:rsidR="67E44B50" w:rsidRPr="00D65F0E">
        <w:rPr>
          <w:rFonts w:ascii="Calibri Light" w:eastAsia="Calibri Light" w:hAnsi="Calibri Light" w:cs="Calibri Light"/>
          <w:b/>
          <w:bCs/>
          <w:color w:val="000000" w:themeColor="text1"/>
          <w:sz w:val="52"/>
          <w:szCs w:val="52"/>
        </w:rPr>
        <w:t xml:space="preserve"> </w:t>
      </w:r>
      <w:r w:rsidRPr="00D65F0E">
        <w:rPr>
          <w:rFonts w:ascii="Calibri Light" w:eastAsia="Calibri Light" w:hAnsi="Calibri Light" w:cs="Calibri Light"/>
          <w:b/>
          <w:bCs/>
          <w:color w:val="000000" w:themeColor="text1"/>
          <w:sz w:val="52"/>
          <w:szCs w:val="52"/>
        </w:rPr>
        <w:t>Aralık</w:t>
      </w:r>
      <w:r w:rsidR="67E44B50" w:rsidRPr="00D65F0E">
        <w:rPr>
          <w:rFonts w:ascii="Calibri Light" w:eastAsia="Calibri Light" w:hAnsi="Calibri Light" w:cs="Calibri Light"/>
          <w:b/>
          <w:bCs/>
          <w:color w:val="000000" w:themeColor="text1"/>
          <w:sz w:val="52"/>
          <w:szCs w:val="52"/>
        </w:rPr>
        <w:t xml:space="preserve"> 2020 Anketi Sonuçları</w:t>
      </w:r>
    </w:p>
    <w:p w14:paraId="1B873855" w14:textId="48D4ED13" w:rsidR="00331D9E" w:rsidRDefault="00331D9E" w:rsidP="47108F29"/>
    <w:p w14:paraId="38A5B962" w14:textId="277CEF44" w:rsidR="000B5FA5" w:rsidRDefault="6E8984EE" w:rsidP="4B0E2DF7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Salgın </w:t>
      </w:r>
      <w:r w:rsidR="4BBAA7AE"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Hızı Kesilmeden </w:t>
      </w: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Devam Ediyor: </w:t>
      </w:r>
    </w:p>
    <w:p w14:paraId="41FE4AD5" w14:textId="48C5C5C9" w:rsidR="000B5FA5" w:rsidRPr="000B5FA5" w:rsidRDefault="6E8984EE" w:rsidP="4B0E2DF7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543.000 COVID Hastası, Toplam 1.519.000 Kişi Evde Karantinada…</w:t>
      </w:r>
    </w:p>
    <w:p w14:paraId="21D4B9EB" w14:textId="50B075BB" w:rsidR="00D65F0E" w:rsidRDefault="4BBAA7AE" w:rsidP="00D65F0E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Türkiye</w:t>
      </w:r>
      <w:r w:rsidR="79F3C46A"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’</w:t>
      </w: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de günlük vaka 50.000 üzerinde </w:t>
      </w:r>
    </w:p>
    <w:p w14:paraId="7AA15E5E" w14:textId="3BC89903" w:rsidR="00434FBD" w:rsidRPr="00434FBD" w:rsidRDefault="2FB3D33C" w:rsidP="4B0E2DF7">
      <w:pPr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Sonbahar 2020'de 3 milyona yakın kişi COVID19 geçirdi</w:t>
      </w:r>
      <w:r w:rsidR="58533C37"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 </w:t>
      </w:r>
    </w:p>
    <w:p w14:paraId="1BD58026" w14:textId="3287CF68" w:rsidR="00434FBD" w:rsidRPr="00434FBD" w:rsidRDefault="58533C37" w:rsidP="4B0E2DF7">
      <w:pPr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3000 kişi kolon kanseri erken tanı şansını kaçırdı</w:t>
      </w:r>
    </w:p>
    <w:p w14:paraId="30BCFDBE" w14:textId="402BD366" w:rsidR="00434FBD" w:rsidRPr="00434FBD" w:rsidRDefault="2FB3D33C" w:rsidP="4B0E2DF7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</w:pPr>
      <w:proofErr w:type="spellStart"/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Pandemi</w:t>
      </w:r>
      <w:proofErr w:type="spellEnd"/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 değil </w:t>
      </w:r>
      <w:proofErr w:type="spellStart"/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Sindemi</w:t>
      </w:r>
      <w:proofErr w:type="spellEnd"/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: Salgın il </w:t>
      </w:r>
      <w:proofErr w:type="spellStart"/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il</w:t>
      </w:r>
      <w:proofErr w:type="spellEnd"/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, yoksul mahalleleri vuruyor.</w:t>
      </w: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 xml:space="preserve"> </w:t>
      </w:r>
    </w:p>
    <w:p w14:paraId="56B4D679" w14:textId="362EA16A" w:rsidR="00434FBD" w:rsidRPr="00434FBD" w:rsidRDefault="00434FBD" w:rsidP="00434FBD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</w:pPr>
    </w:p>
    <w:p w14:paraId="0F94C5B5" w14:textId="77777777" w:rsidR="000777F5" w:rsidRPr="000B5FA5" w:rsidRDefault="67E44B50" w:rsidP="47108F29">
      <w:pPr>
        <w:rPr>
          <w:sz w:val="24"/>
          <w:szCs w:val="24"/>
        </w:rPr>
      </w:pPr>
      <w:r w:rsidRPr="000B5FA5">
        <w:rPr>
          <w:sz w:val="24"/>
          <w:szCs w:val="24"/>
        </w:rPr>
        <w:t xml:space="preserve">COVID19 rehberi doğrultusunda tüm PCR+ ve BT pozitif hastalar ile vaka temaslılar 18 Mart 2020 tarihinden itibaren bağlı oldukları aile hekimleri tarafından takip edilmektedir. </w:t>
      </w:r>
    </w:p>
    <w:p w14:paraId="70C27EB6" w14:textId="77777777" w:rsidR="000777F5" w:rsidRPr="000B5FA5" w:rsidRDefault="5AE25554" w:rsidP="47108F29">
      <w:pPr>
        <w:rPr>
          <w:sz w:val="24"/>
          <w:szCs w:val="24"/>
        </w:rPr>
      </w:pPr>
      <w:r w:rsidRPr="000B5FA5">
        <w:rPr>
          <w:sz w:val="24"/>
          <w:szCs w:val="24"/>
        </w:rPr>
        <w:t xml:space="preserve">Eylül ayından itibaren TTB Aile Hekimliği Kolu düzenli olarak yaptığı aile hekimliği anketleri ile ülkemizde </w:t>
      </w:r>
      <w:r w:rsidR="000C111B" w:rsidRPr="000B5FA5">
        <w:rPr>
          <w:sz w:val="24"/>
          <w:szCs w:val="24"/>
        </w:rPr>
        <w:t>kaç</w:t>
      </w:r>
      <w:r w:rsidRPr="000B5FA5">
        <w:rPr>
          <w:sz w:val="24"/>
          <w:szCs w:val="24"/>
        </w:rPr>
        <w:t xml:space="preserve"> yeni COVID19 tanılı vaka olduğu ve izlemde bulunan hasta sayısını </w:t>
      </w:r>
      <w:r w:rsidR="1320A422" w:rsidRPr="000B5FA5">
        <w:rPr>
          <w:sz w:val="24"/>
          <w:szCs w:val="24"/>
        </w:rPr>
        <w:t>raporlamaktadır</w:t>
      </w:r>
      <w:r w:rsidR="00DA40A7" w:rsidRPr="000B5FA5">
        <w:rPr>
          <w:rStyle w:val="SonnotBavurusu"/>
          <w:sz w:val="24"/>
          <w:szCs w:val="24"/>
        </w:rPr>
        <w:endnoteReference w:id="1"/>
      </w:r>
      <w:r w:rsidR="1320A422" w:rsidRPr="000B5FA5">
        <w:rPr>
          <w:sz w:val="24"/>
          <w:szCs w:val="24"/>
        </w:rPr>
        <w:t xml:space="preserve">. </w:t>
      </w:r>
    </w:p>
    <w:p w14:paraId="46EE1064" w14:textId="70840280" w:rsidR="000C111B" w:rsidRPr="000B5FA5" w:rsidRDefault="0DC27202" w:rsidP="47108F29">
      <w:pPr>
        <w:rPr>
          <w:sz w:val="24"/>
          <w:szCs w:val="24"/>
        </w:rPr>
      </w:pPr>
      <w:r w:rsidRPr="000B5FA5">
        <w:rPr>
          <w:sz w:val="24"/>
          <w:szCs w:val="24"/>
        </w:rPr>
        <w:t xml:space="preserve">Aile hekimliği </w:t>
      </w:r>
      <w:proofErr w:type="spellStart"/>
      <w:r w:rsidRPr="000B5FA5">
        <w:rPr>
          <w:sz w:val="24"/>
          <w:szCs w:val="24"/>
        </w:rPr>
        <w:t>pandemi</w:t>
      </w:r>
      <w:proofErr w:type="spellEnd"/>
      <w:r w:rsidRPr="000B5FA5">
        <w:rPr>
          <w:sz w:val="24"/>
          <w:szCs w:val="24"/>
        </w:rPr>
        <w:t xml:space="preserve"> anketlerinde </w:t>
      </w:r>
      <w:r w:rsidR="000777F5" w:rsidRPr="000B5FA5">
        <w:rPr>
          <w:sz w:val="24"/>
          <w:szCs w:val="24"/>
        </w:rPr>
        <w:t xml:space="preserve">salgının birinci basamak seyri gözler önüne serilerek </w:t>
      </w:r>
      <w:proofErr w:type="spellStart"/>
      <w:r w:rsidR="000777F5" w:rsidRPr="000B5FA5">
        <w:rPr>
          <w:sz w:val="24"/>
          <w:szCs w:val="24"/>
        </w:rPr>
        <w:t>pandemiyle</w:t>
      </w:r>
      <w:proofErr w:type="spellEnd"/>
      <w:r w:rsidR="000777F5" w:rsidRPr="000B5FA5">
        <w:rPr>
          <w:sz w:val="24"/>
          <w:szCs w:val="24"/>
        </w:rPr>
        <w:t xml:space="preserve"> yürütülen mücadeleye katkı sağlanmak hedeflenmiştir.</w:t>
      </w:r>
    </w:p>
    <w:p w14:paraId="396FCE54" w14:textId="77777777" w:rsidR="000777F5" w:rsidRPr="000B5FA5" w:rsidRDefault="000777F5" w:rsidP="47108F29">
      <w:pPr>
        <w:rPr>
          <w:sz w:val="24"/>
          <w:szCs w:val="24"/>
        </w:rPr>
      </w:pPr>
      <w:r w:rsidRPr="000B5FA5">
        <w:rPr>
          <w:sz w:val="24"/>
          <w:szCs w:val="24"/>
        </w:rPr>
        <w:t xml:space="preserve">Çalışmalarımızda, salgın sürecinde </w:t>
      </w:r>
      <w:r w:rsidR="0DC27202" w:rsidRPr="000B5FA5">
        <w:rPr>
          <w:sz w:val="24"/>
          <w:szCs w:val="24"/>
        </w:rPr>
        <w:t>aile hekimleri ve</w:t>
      </w:r>
      <w:r w:rsidR="0A880A43" w:rsidRPr="000B5FA5">
        <w:rPr>
          <w:sz w:val="24"/>
          <w:szCs w:val="24"/>
        </w:rPr>
        <w:t xml:space="preserve"> evde tak</w:t>
      </w:r>
      <w:r w:rsidRPr="000B5FA5">
        <w:rPr>
          <w:sz w:val="24"/>
          <w:szCs w:val="24"/>
        </w:rPr>
        <w:t>ip edilen hastaların yaşadıkları</w:t>
      </w:r>
      <w:r w:rsidR="0A880A43" w:rsidRPr="000B5FA5">
        <w:rPr>
          <w:sz w:val="24"/>
          <w:szCs w:val="24"/>
        </w:rPr>
        <w:t xml:space="preserve"> raporlanmıştır. </w:t>
      </w:r>
      <w:r w:rsidR="7929CA40" w:rsidRPr="000B5FA5">
        <w:rPr>
          <w:sz w:val="24"/>
          <w:szCs w:val="24"/>
        </w:rPr>
        <w:t xml:space="preserve"> </w:t>
      </w:r>
    </w:p>
    <w:p w14:paraId="2D9AFE00" w14:textId="77777777" w:rsidR="000777F5" w:rsidRPr="000B5FA5" w:rsidRDefault="7929CA40" w:rsidP="47108F29">
      <w:pPr>
        <w:rPr>
          <w:sz w:val="24"/>
          <w:szCs w:val="24"/>
        </w:rPr>
      </w:pPr>
      <w:r w:rsidRPr="000B5FA5">
        <w:rPr>
          <w:sz w:val="24"/>
          <w:szCs w:val="24"/>
        </w:rPr>
        <w:lastRenderedPageBreak/>
        <w:t>Kasım ayı raporunda</w:t>
      </w:r>
      <w:r w:rsidR="504B3B46" w:rsidRPr="000B5FA5">
        <w:rPr>
          <w:sz w:val="24"/>
          <w:szCs w:val="24"/>
        </w:rPr>
        <w:t xml:space="preserve"> </w:t>
      </w:r>
      <w:r w:rsidRPr="000B5FA5">
        <w:rPr>
          <w:sz w:val="24"/>
          <w:szCs w:val="24"/>
        </w:rPr>
        <w:t xml:space="preserve">aile hekimlerinin büyük bir tükenmişlik yaşamakta olduğu ve evde </w:t>
      </w:r>
      <w:r w:rsidR="64825BF7" w:rsidRPr="000B5FA5">
        <w:rPr>
          <w:sz w:val="24"/>
          <w:szCs w:val="24"/>
        </w:rPr>
        <w:t xml:space="preserve">olan </w:t>
      </w:r>
      <w:r w:rsidRPr="000B5FA5">
        <w:rPr>
          <w:sz w:val="24"/>
          <w:szCs w:val="24"/>
        </w:rPr>
        <w:t>hastalar</w:t>
      </w:r>
      <w:r w:rsidR="3E1BDB5C" w:rsidRPr="000B5FA5">
        <w:rPr>
          <w:sz w:val="24"/>
          <w:szCs w:val="24"/>
        </w:rPr>
        <w:t>ın sorunları</w:t>
      </w:r>
      <w:r w:rsidRPr="000B5FA5">
        <w:rPr>
          <w:sz w:val="24"/>
          <w:szCs w:val="24"/>
        </w:rPr>
        <w:t xml:space="preserve"> için çare </w:t>
      </w:r>
      <w:r w:rsidR="717CFACF" w:rsidRPr="000B5FA5">
        <w:rPr>
          <w:sz w:val="24"/>
          <w:szCs w:val="24"/>
        </w:rPr>
        <w:t xml:space="preserve">bulmakta çok kısıtlı </w:t>
      </w:r>
      <w:r w:rsidR="000777F5" w:rsidRPr="000B5FA5">
        <w:rPr>
          <w:sz w:val="24"/>
          <w:szCs w:val="24"/>
        </w:rPr>
        <w:t>imkânlardan dolayı zorlandıkları görülmüştür</w:t>
      </w:r>
      <w:r w:rsidR="00DA40A7" w:rsidRPr="000B5FA5">
        <w:rPr>
          <w:sz w:val="24"/>
          <w:szCs w:val="24"/>
        </w:rPr>
        <w:endnoteReference w:id="2"/>
      </w:r>
      <w:r w:rsidR="717CFACF" w:rsidRPr="000B5FA5">
        <w:rPr>
          <w:sz w:val="24"/>
          <w:szCs w:val="24"/>
        </w:rPr>
        <w:t xml:space="preserve">. </w:t>
      </w:r>
    </w:p>
    <w:p w14:paraId="736ED04A" w14:textId="3C4400FF" w:rsidR="00331D9E" w:rsidRPr="000B5FA5" w:rsidRDefault="717CFACF" w:rsidP="47108F29">
      <w:pPr>
        <w:rPr>
          <w:sz w:val="24"/>
          <w:szCs w:val="24"/>
        </w:rPr>
      </w:pPr>
      <w:r w:rsidRPr="000B5FA5">
        <w:rPr>
          <w:sz w:val="24"/>
          <w:szCs w:val="24"/>
        </w:rPr>
        <w:t xml:space="preserve">Aralık ayı raporunda </w:t>
      </w:r>
      <w:r w:rsidR="000777F5" w:rsidRPr="000B5FA5">
        <w:rPr>
          <w:sz w:val="24"/>
          <w:szCs w:val="24"/>
        </w:rPr>
        <w:t xml:space="preserve">ayrıca </w:t>
      </w:r>
      <w:r w:rsidRPr="000B5FA5">
        <w:rPr>
          <w:sz w:val="24"/>
          <w:szCs w:val="24"/>
        </w:rPr>
        <w:t>salgının ikincil etkileri</w:t>
      </w:r>
      <w:r w:rsidR="000777F5" w:rsidRPr="000B5FA5">
        <w:rPr>
          <w:sz w:val="24"/>
          <w:szCs w:val="24"/>
        </w:rPr>
        <w:t xml:space="preserve"> olan,</w:t>
      </w:r>
      <w:r w:rsidR="195A55E4" w:rsidRPr="000B5FA5">
        <w:rPr>
          <w:sz w:val="24"/>
          <w:szCs w:val="24"/>
        </w:rPr>
        <w:t xml:space="preserve"> kanser tarama ve</w:t>
      </w:r>
      <w:r w:rsidR="000777F5" w:rsidRPr="000B5FA5">
        <w:rPr>
          <w:sz w:val="24"/>
          <w:szCs w:val="24"/>
        </w:rPr>
        <w:t xml:space="preserve"> erken kanser tespiti </w:t>
      </w:r>
      <w:r w:rsidR="195A55E4" w:rsidRPr="000B5FA5">
        <w:rPr>
          <w:sz w:val="24"/>
          <w:szCs w:val="24"/>
        </w:rPr>
        <w:t xml:space="preserve">sorgulanmıştır. </w:t>
      </w:r>
      <w:r w:rsidR="7C0CDD52" w:rsidRPr="000B5FA5">
        <w:rPr>
          <w:sz w:val="24"/>
          <w:szCs w:val="24"/>
        </w:rPr>
        <w:t>Ne yazık ki kanser taramaları ve erken tespit edilen kanser vaka say</w:t>
      </w:r>
      <w:r w:rsidR="000777F5" w:rsidRPr="000B5FA5">
        <w:rPr>
          <w:sz w:val="24"/>
          <w:szCs w:val="24"/>
        </w:rPr>
        <w:t>ılarında büyük bir düşüş olduğu anlaşılmaktadır.</w:t>
      </w:r>
      <w:r w:rsidR="7C0CDD52" w:rsidRPr="000B5FA5">
        <w:rPr>
          <w:sz w:val="24"/>
          <w:szCs w:val="24"/>
        </w:rPr>
        <w:t xml:space="preserve"> Salgın yönetiminde ihmal</w:t>
      </w:r>
      <w:r w:rsidR="000777F5" w:rsidRPr="000B5FA5">
        <w:rPr>
          <w:sz w:val="24"/>
          <w:szCs w:val="24"/>
        </w:rPr>
        <w:t xml:space="preserve">, </w:t>
      </w:r>
      <w:r w:rsidR="7C0CDD52" w:rsidRPr="000B5FA5">
        <w:rPr>
          <w:sz w:val="24"/>
          <w:szCs w:val="24"/>
        </w:rPr>
        <w:t>yıllar içinde ek hastalık yükü ve erken ölüm</w:t>
      </w:r>
      <w:r w:rsidR="000777F5" w:rsidRPr="000B5FA5">
        <w:rPr>
          <w:sz w:val="24"/>
          <w:szCs w:val="24"/>
        </w:rPr>
        <w:t xml:space="preserve">ler olarak karşımıza çıkacağı endişesi </w:t>
      </w:r>
      <w:r w:rsidR="000B5FA5" w:rsidRPr="000B5FA5">
        <w:rPr>
          <w:sz w:val="24"/>
          <w:szCs w:val="24"/>
        </w:rPr>
        <w:t>doğurmuştur</w:t>
      </w:r>
      <w:r w:rsidR="000777F5" w:rsidRPr="000B5FA5">
        <w:rPr>
          <w:sz w:val="24"/>
          <w:szCs w:val="24"/>
        </w:rPr>
        <w:t>.</w:t>
      </w:r>
    </w:p>
    <w:p w14:paraId="4F59B2A6" w14:textId="195AF799" w:rsidR="000B5FA5" w:rsidRPr="000B5FA5" w:rsidRDefault="03CA0F1B" w:rsidP="47108F29">
      <w:pPr>
        <w:rPr>
          <w:sz w:val="24"/>
          <w:szCs w:val="24"/>
        </w:rPr>
      </w:pPr>
      <w:r w:rsidRPr="4B0E2DF7">
        <w:rPr>
          <w:sz w:val="24"/>
          <w:szCs w:val="24"/>
        </w:rPr>
        <w:t xml:space="preserve">9-14 Aralık 2020 tarihleri arasında yapılan anketimize Türkiye genelinden </w:t>
      </w:r>
      <w:r w:rsidR="555F791A" w:rsidRPr="4B0E2DF7">
        <w:rPr>
          <w:sz w:val="24"/>
          <w:szCs w:val="24"/>
        </w:rPr>
        <w:t>7</w:t>
      </w:r>
      <w:r w:rsidR="4C32C367" w:rsidRPr="4B0E2DF7">
        <w:rPr>
          <w:sz w:val="24"/>
          <w:szCs w:val="24"/>
        </w:rPr>
        <w:t>5</w:t>
      </w:r>
      <w:r w:rsidR="555F791A" w:rsidRPr="4B0E2DF7">
        <w:rPr>
          <w:sz w:val="24"/>
          <w:szCs w:val="24"/>
        </w:rPr>
        <w:t xml:space="preserve"> ilden </w:t>
      </w:r>
      <w:r w:rsidRPr="4B0E2DF7">
        <w:rPr>
          <w:sz w:val="24"/>
          <w:szCs w:val="24"/>
        </w:rPr>
        <w:t>1520 aile hekimi yanıt vermiştir.</w:t>
      </w:r>
      <w:r w:rsidR="6C732AC9" w:rsidRPr="4B0E2DF7">
        <w:rPr>
          <w:sz w:val="24"/>
          <w:szCs w:val="24"/>
        </w:rPr>
        <w:t xml:space="preserve"> Yanıt alınamayan </w:t>
      </w:r>
      <w:r w:rsidR="608C5E72" w:rsidRPr="4B0E2DF7">
        <w:rPr>
          <w:sz w:val="24"/>
          <w:szCs w:val="24"/>
        </w:rPr>
        <w:t>6</w:t>
      </w:r>
      <w:r w:rsidR="6C732AC9" w:rsidRPr="4B0E2DF7">
        <w:rPr>
          <w:sz w:val="24"/>
          <w:szCs w:val="24"/>
        </w:rPr>
        <w:t xml:space="preserve"> il; Bingöl, Gümüşhane, </w:t>
      </w:r>
      <w:r w:rsidR="02ADF114" w:rsidRPr="4B0E2DF7">
        <w:rPr>
          <w:sz w:val="24"/>
          <w:szCs w:val="24"/>
        </w:rPr>
        <w:t>Hakkâri</w:t>
      </w:r>
      <w:r w:rsidR="6C732AC9" w:rsidRPr="4B0E2DF7">
        <w:rPr>
          <w:sz w:val="24"/>
          <w:szCs w:val="24"/>
        </w:rPr>
        <w:t xml:space="preserve">, Isparta, Malatya ve </w:t>
      </w:r>
      <w:r w:rsidR="083B6EE5" w:rsidRPr="4B0E2DF7">
        <w:rPr>
          <w:sz w:val="24"/>
          <w:szCs w:val="24"/>
        </w:rPr>
        <w:t>Kilis'tir</w:t>
      </w:r>
      <w:r w:rsidR="6C732AC9" w:rsidRPr="4B0E2DF7">
        <w:rPr>
          <w:sz w:val="24"/>
          <w:szCs w:val="24"/>
        </w:rPr>
        <w:t>.</w:t>
      </w:r>
      <w:r w:rsidR="75E83804" w:rsidRPr="4B0E2DF7">
        <w:rPr>
          <w:sz w:val="24"/>
          <w:szCs w:val="24"/>
        </w:rPr>
        <w:t xml:space="preserve"> Ankete katılan</w:t>
      </w:r>
      <w:r w:rsidR="6C732AC9" w:rsidRPr="4B0E2DF7">
        <w:rPr>
          <w:sz w:val="24"/>
          <w:szCs w:val="24"/>
        </w:rPr>
        <w:t xml:space="preserve"> </w:t>
      </w:r>
      <w:r w:rsidR="61D2B243" w:rsidRPr="4B0E2DF7">
        <w:rPr>
          <w:sz w:val="24"/>
          <w:szCs w:val="24"/>
        </w:rPr>
        <w:t xml:space="preserve">740 </w:t>
      </w:r>
      <w:r w:rsidR="75E83804" w:rsidRPr="4B0E2DF7">
        <w:rPr>
          <w:sz w:val="24"/>
          <w:szCs w:val="24"/>
        </w:rPr>
        <w:t>kişi</w:t>
      </w:r>
      <w:r w:rsidR="44B6F7F0" w:rsidRPr="4B0E2DF7">
        <w:rPr>
          <w:sz w:val="24"/>
          <w:szCs w:val="24"/>
        </w:rPr>
        <w:t xml:space="preserve"> </w:t>
      </w:r>
      <w:r w:rsidR="61D2B243" w:rsidRPr="4B0E2DF7">
        <w:rPr>
          <w:sz w:val="24"/>
          <w:szCs w:val="24"/>
        </w:rPr>
        <w:t>7 Aralık</w:t>
      </w:r>
      <w:r w:rsidR="086875C2" w:rsidRPr="4B0E2DF7">
        <w:rPr>
          <w:sz w:val="24"/>
          <w:szCs w:val="24"/>
        </w:rPr>
        <w:t xml:space="preserve">, 341 </w:t>
      </w:r>
      <w:r w:rsidR="75E83804" w:rsidRPr="4B0E2DF7">
        <w:rPr>
          <w:sz w:val="24"/>
          <w:szCs w:val="24"/>
        </w:rPr>
        <w:t xml:space="preserve">kişi </w:t>
      </w:r>
      <w:r w:rsidR="086875C2" w:rsidRPr="4B0E2DF7">
        <w:rPr>
          <w:sz w:val="24"/>
          <w:szCs w:val="24"/>
        </w:rPr>
        <w:t>8 Aralık</w:t>
      </w:r>
      <w:r w:rsidR="0DE2B0DC" w:rsidRPr="4B0E2DF7">
        <w:rPr>
          <w:sz w:val="24"/>
          <w:szCs w:val="24"/>
        </w:rPr>
        <w:t xml:space="preserve"> ve 253 </w:t>
      </w:r>
      <w:r w:rsidR="75E83804" w:rsidRPr="4B0E2DF7">
        <w:rPr>
          <w:sz w:val="24"/>
          <w:szCs w:val="24"/>
        </w:rPr>
        <w:t>kişi</w:t>
      </w:r>
      <w:r w:rsidR="0DE2B0DC" w:rsidRPr="4B0E2DF7">
        <w:rPr>
          <w:sz w:val="24"/>
          <w:szCs w:val="24"/>
        </w:rPr>
        <w:t xml:space="preserve"> 9 Aralık</w:t>
      </w:r>
      <w:r w:rsidR="086875C2" w:rsidRPr="4B0E2DF7">
        <w:rPr>
          <w:sz w:val="24"/>
          <w:szCs w:val="24"/>
        </w:rPr>
        <w:t xml:space="preserve"> tarihinde</w:t>
      </w:r>
      <w:r w:rsidR="78101171" w:rsidRPr="4B0E2DF7">
        <w:rPr>
          <w:sz w:val="24"/>
          <w:szCs w:val="24"/>
        </w:rPr>
        <w:t xml:space="preserve">, diğer </w:t>
      </w:r>
      <w:r w:rsidR="1AE430CE" w:rsidRPr="4B0E2DF7">
        <w:rPr>
          <w:sz w:val="24"/>
          <w:szCs w:val="24"/>
        </w:rPr>
        <w:t xml:space="preserve">186 katılımcı ise </w:t>
      </w:r>
      <w:r w:rsidR="75E83804" w:rsidRPr="4B0E2DF7">
        <w:rPr>
          <w:sz w:val="24"/>
          <w:szCs w:val="24"/>
        </w:rPr>
        <w:t>10-14 Aralık tarihlerinde anket sorularını</w:t>
      </w:r>
      <w:r w:rsidR="1AE430CE" w:rsidRPr="4B0E2DF7">
        <w:rPr>
          <w:sz w:val="24"/>
          <w:szCs w:val="24"/>
        </w:rPr>
        <w:t xml:space="preserve"> yanıtlamıştır. </w:t>
      </w:r>
      <w:r w:rsidR="6E8984EE" w:rsidRPr="4B0E2DF7">
        <w:rPr>
          <w:sz w:val="24"/>
          <w:szCs w:val="24"/>
        </w:rPr>
        <w:t xml:space="preserve"> </w:t>
      </w:r>
    </w:p>
    <w:p w14:paraId="5454F89F" w14:textId="3F2761AC" w:rsidR="00331D9E" w:rsidRPr="000B5FA5" w:rsidRDefault="6C62D7E7" w:rsidP="47108F29">
      <w:pPr>
        <w:rPr>
          <w:sz w:val="24"/>
          <w:szCs w:val="24"/>
        </w:rPr>
      </w:pPr>
      <w:r w:rsidRPr="000B5FA5">
        <w:rPr>
          <w:sz w:val="24"/>
          <w:szCs w:val="24"/>
        </w:rPr>
        <w:t>10</w:t>
      </w:r>
      <w:r w:rsidR="5A1B9992" w:rsidRPr="000B5FA5">
        <w:rPr>
          <w:sz w:val="24"/>
          <w:szCs w:val="24"/>
        </w:rPr>
        <w:t xml:space="preserve"> Aralık’ta ise temaslı karantina süresi 14 günden 10 güne indirilmiştir. </w:t>
      </w:r>
      <w:r w:rsidR="2267F2DC" w:rsidRPr="000B5FA5">
        <w:rPr>
          <w:sz w:val="24"/>
          <w:szCs w:val="24"/>
        </w:rPr>
        <w:t xml:space="preserve">Evde takip edilen PCR+ COVID hastaları 10 gün boyunca Aile Hekimlerinin izlem listesinde </w:t>
      </w:r>
      <w:r w:rsidR="733836F5" w:rsidRPr="000B5FA5">
        <w:rPr>
          <w:sz w:val="24"/>
          <w:szCs w:val="24"/>
        </w:rPr>
        <w:t>kalmaktadır. Çalışmalarımızda elde edilen veriler bu 10 günlük toplamı yansıtmaktadır.</w:t>
      </w:r>
    </w:p>
    <w:p w14:paraId="469F24D1" w14:textId="002CE437" w:rsidR="00331D9E" w:rsidRDefault="6BD563B5" w:rsidP="000B5FA5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Salgın </w:t>
      </w:r>
      <w:r w:rsidR="7FBCF4B2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D</w:t>
      </w:r>
      <w:r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evam </w:t>
      </w:r>
      <w:r w:rsidR="094682FF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E</w:t>
      </w:r>
      <w:r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diyor: 5</w:t>
      </w:r>
      <w:r w:rsidR="00EF32E3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4</w:t>
      </w:r>
      <w:r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3</w:t>
      </w:r>
      <w:r w:rsidR="012CF143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.</w:t>
      </w:r>
      <w:r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000 </w:t>
      </w:r>
      <w:r w:rsidR="646FD3F1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COVID </w:t>
      </w:r>
      <w:r w:rsidR="6AEED16A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H</w:t>
      </w:r>
      <w:r w:rsidR="646FD3F1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astası</w:t>
      </w:r>
      <w:r w:rsidR="219DAF23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,</w:t>
      </w:r>
      <w:r w:rsidR="646FD3F1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 </w:t>
      </w:r>
      <w:r w:rsidR="04A43E08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T</w:t>
      </w:r>
      <w:r w:rsidR="571CCC34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oplam </w:t>
      </w:r>
      <w:r w:rsidR="646FD3F1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1</w:t>
      </w:r>
      <w:r w:rsidR="3D064F4A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.</w:t>
      </w:r>
      <w:r w:rsidR="646FD3F1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519</w:t>
      </w:r>
      <w:r w:rsidR="3D064F4A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.</w:t>
      </w:r>
      <w:r w:rsidR="646FD3F1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000</w:t>
      </w:r>
      <w:r w:rsidR="5A7C264C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 </w:t>
      </w:r>
      <w:r w:rsidR="1FE204FE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K</w:t>
      </w:r>
      <w:r w:rsidR="0FB39C1D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işi </w:t>
      </w:r>
      <w:r w:rsidR="74A1C4D2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E</w:t>
      </w:r>
      <w:r w:rsidR="5A7C264C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v</w:t>
      </w:r>
      <w:r w:rsidR="58A49939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de </w:t>
      </w:r>
      <w:r w:rsidR="277BF343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K</w:t>
      </w:r>
      <w:r w:rsidR="58A49939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arantinada.</w:t>
      </w:r>
    </w:p>
    <w:p w14:paraId="179C740B" w14:textId="35E655D2" w:rsidR="000B5FA5" w:rsidRPr="000B5FA5" w:rsidRDefault="000B5FA5" w:rsidP="000B5FA5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Günlük vaka sayısı geçen aya göre aile hekimi başına artarak 22.55 oldu…</w:t>
      </w:r>
    </w:p>
    <w:p w14:paraId="4B04F0F3" w14:textId="64A66A14" w:rsidR="000B5FA5" w:rsidRPr="00D65F0E" w:rsidRDefault="4BBAA7AE" w:rsidP="00D65F0E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Türkiye de günlük vaka 50.000 üzerinde </w:t>
      </w:r>
    </w:p>
    <w:p w14:paraId="5FF9BE65" w14:textId="79132260" w:rsidR="00331D9E" w:rsidRPr="000B5FA5" w:rsidRDefault="39CF2A0F" w:rsidP="47108F29">
      <w:pPr>
        <w:rPr>
          <w:sz w:val="24"/>
          <w:szCs w:val="24"/>
        </w:rPr>
      </w:pPr>
      <w:r w:rsidRPr="4B0E2DF7">
        <w:rPr>
          <w:sz w:val="24"/>
          <w:szCs w:val="24"/>
        </w:rPr>
        <w:t>Kası</w:t>
      </w:r>
      <w:r w:rsidR="4F00DBB6" w:rsidRPr="4B0E2DF7">
        <w:rPr>
          <w:sz w:val="24"/>
          <w:szCs w:val="24"/>
        </w:rPr>
        <w:t>m</w:t>
      </w:r>
      <w:r w:rsidRPr="4B0E2DF7">
        <w:rPr>
          <w:sz w:val="24"/>
          <w:szCs w:val="24"/>
        </w:rPr>
        <w:t xml:space="preserve"> </w:t>
      </w:r>
      <w:r w:rsidR="6E8984EE" w:rsidRPr="4B0E2DF7">
        <w:rPr>
          <w:sz w:val="24"/>
          <w:szCs w:val="24"/>
        </w:rPr>
        <w:t xml:space="preserve">ayı </w:t>
      </w:r>
      <w:r w:rsidRPr="4B0E2DF7">
        <w:rPr>
          <w:sz w:val="24"/>
          <w:szCs w:val="24"/>
        </w:rPr>
        <w:t>anketinde aile hekimi başına 19,79 COVID hastası düşmekteyken</w:t>
      </w:r>
      <w:r w:rsidR="6E8984EE" w:rsidRPr="4B0E2DF7">
        <w:rPr>
          <w:sz w:val="24"/>
          <w:szCs w:val="24"/>
        </w:rPr>
        <w:t>,</w:t>
      </w:r>
      <w:r w:rsidRPr="4B0E2DF7">
        <w:rPr>
          <w:sz w:val="24"/>
          <w:szCs w:val="24"/>
        </w:rPr>
        <w:t xml:space="preserve"> bu sayı Aralık</w:t>
      </w:r>
      <w:r w:rsidR="6E8984EE" w:rsidRPr="4B0E2DF7">
        <w:rPr>
          <w:sz w:val="24"/>
          <w:szCs w:val="24"/>
        </w:rPr>
        <w:t xml:space="preserve"> ayı</w:t>
      </w:r>
      <w:r w:rsidRPr="4B0E2DF7">
        <w:rPr>
          <w:sz w:val="24"/>
          <w:szCs w:val="24"/>
        </w:rPr>
        <w:t xml:space="preserve"> anketinde 22,55’e </w:t>
      </w:r>
      <w:r w:rsidR="27940082" w:rsidRPr="4B0E2DF7">
        <w:rPr>
          <w:sz w:val="24"/>
          <w:szCs w:val="24"/>
        </w:rPr>
        <w:t>yükselmiştir</w:t>
      </w:r>
      <w:r w:rsidRPr="4B0E2DF7">
        <w:rPr>
          <w:sz w:val="24"/>
          <w:szCs w:val="24"/>
        </w:rPr>
        <w:t>.</w:t>
      </w:r>
      <w:r w:rsidR="27940082" w:rsidRPr="4B0E2DF7">
        <w:rPr>
          <w:sz w:val="24"/>
          <w:szCs w:val="24"/>
        </w:rPr>
        <w:t xml:space="preserve"> Çalışmamıza göre Aralık ayı başında Türkiye genelinde günde 50 binin üzerinde yeni PCR+ hasta tespit edilmektedir</w:t>
      </w:r>
    </w:p>
    <w:p w14:paraId="084178DE" w14:textId="193CF862" w:rsidR="00D65F0E" w:rsidRDefault="39CF2A0F" w:rsidP="47108F29">
      <w:pPr>
        <w:rPr>
          <w:sz w:val="24"/>
          <w:szCs w:val="24"/>
        </w:rPr>
      </w:pPr>
      <w:r w:rsidRPr="4B0E2DF7">
        <w:rPr>
          <w:sz w:val="24"/>
          <w:szCs w:val="24"/>
        </w:rPr>
        <w:t xml:space="preserve">Anket çalışmasından 1 hafta önce </w:t>
      </w:r>
      <w:r w:rsidR="4BBAA7AE" w:rsidRPr="4B0E2DF7">
        <w:rPr>
          <w:sz w:val="24"/>
          <w:szCs w:val="24"/>
        </w:rPr>
        <w:t xml:space="preserve">kısmen ve hafta sonu </w:t>
      </w:r>
      <w:r w:rsidRPr="4B0E2DF7">
        <w:rPr>
          <w:sz w:val="24"/>
          <w:szCs w:val="24"/>
        </w:rPr>
        <w:t>sokağa çıkma</w:t>
      </w:r>
      <w:r w:rsidR="47B1292C" w:rsidRPr="4B0E2DF7">
        <w:rPr>
          <w:sz w:val="24"/>
          <w:szCs w:val="24"/>
        </w:rPr>
        <w:t>,</w:t>
      </w:r>
      <w:r w:rsidRPr="4B0E2DF7">
        <w:rPr>
          <w:sz w:val="24"/>
          <w:szCs w:val="24"/>
        </w:rPr>
        <w:t xml:space="preserve"> </w:t>
      </w:r>
      <w:r w:rsidR="7F16FBE2" w:rsidRPr="4B0E2DF7">
        <w:rPr>
          <w:sz w:val="24"/>
          <w:szCs w:val="24"/>
        </w:rPr>
        <w:t>20 yaş altı ve 65 yaş üzerine</w:t>
      </w:r>
      <w:r w:rsidR="4BBAA7AE" w:rsidRPr="4B0E2DF7">
        <w:rPr>
          <w:sz w:val="24"/>
          <w:szCs w:val="24"/>
        </w:rPr>
        <w:t xml:space="preserve"> belli saatlerde sokağa</w:t>
      </w:r>
      <w:r w:rsidR="7F16FBE2" w:rsidRPr="4B0E2DF7">
        <w:rPr>
          <w:sz w:val="24"/>
          <w:szCs w:val="24"/>
        </w:rPr>
        <w:t xml:space="preserve"> çıkma kısıtlama</w:t>
      </w:r>
      <w:r w:rsidR="5B359524" w:rsidRPr="4B0E2DF7">
        <w:rPr>
          <w:sz w:val="24"/>
          <w:szCs w:val="24"/>
        </w:rPr>
        <w:t xml:space="preserve">ları </w:t>
      </w:r>
      <w:r w:rsidR="4BBAA7AE" w:rsidRPr="4B0E2DF7">
        <w:rPr>
          <w:sz w:val="24"/>
          <w:szCs w:val="24"/>
        </w:rPr>
        <w:t>ile toplu bulunan yerler için kısıtlamalar ve mesai saati değişiklikleri uygulanmalar başla</w:t>
      </w:r>
      <w:r w:rsidR="73AEF5C8" w:rsidRPr="4B0E2DF7">
        <w:rPr>
          <w:sz w:val="24"/>
          <w:szCs w:val="24"/>
        </w:rPr>
        <w:t>mıştır. Anketimizin alınan</w:t>
      </w:r>
      <w:r w:rsidR="4BBAA7AE" w:rsidRPr="4B0E2DF7">
        <w:rPr>
          <w:sz w:val="24"/>
          <w:szCs w:val="24"/>
        </w:rPr>
        <w:t xml:space="preserve"> tedbirlerin etkinliğini anlamak bakımından erken olduğunu hatırlatmak yerinde olacaktır.</w:t>
      </w:r>
    </w:p>
    <w:p w14:paraId="3275B8FE" w14:textId="2B20D4ED" w:rsidR="4035C073" w:rsidRDefault="4035C073" w:rsidP="4B0E2DF7">
      <w:pPr>
        <w:jc w:val="center"/>
      </w:pPr>
      <w:r w:rsidRPr="4B0E2DF7">
        <w:rPr>
          <w:rFonts w:ascii="Calibri" w:eastAsia="Calibri" w:hAnsi="Calibri" w:cs="Calibri"/>
          <w:sz w:val="40"/>
          <w:szCs w:val="40"/>
        </w:rPr>
        <w:t>Salgın ilden ile yayılıyor</w:t>
      </w:r>
    </w:p>
    <w:p w14:paraId="4B0AF5EB" w14:textId="0E096D55" w:rsidR="00331D9E" w:rsidRPr="000B5FA5" w:rsidRDefault="72AD062E" w:rsidP="4B0E2DF7">
      <w:pPr>
        <w:rPr>
          <w:sz w:val="24"/>
          <w:szCs w:val="24"/>
        </w:rPr>
      </w:pPr>
      <w:r w:rsidRPr="4B0E2DF7">
        <w:rPr>
          <w:sz w:val="24"/>
          <w:szCs w:val="24"/>
        </w:rPr>
        <w:t>Ankara, Bursa</w:t>
      </w:r>
      <w:r w:rsidR="25C364C9" w:rsidRPr="4B0E2DF7">
        <w:rPr>
          <w:sz w:val="24"/>
          <w:szCs w:val="24"/>
        </w:rPr>
        <w:t>, Elazığ</w:t>
      </w:r>
      <w:r w:rsidR="758DDA38" w:rsidRPr="4B0E2DF7">
        <w:rPr>
          <w:sz w:val="24"/>
          <w:szCs w:val="24"/>
        </w:rPr>
        <w:t>, İstanbul, Gaziantep</w:t>
      </w:r>
      <w:r w:rsidRPr="4B0E2DF7">
        <w:rPr>
          <w:sz w:val="24"/>
          <w:szCs w:val="24"/>
        </w:rPr>
        <w:t xml:space="preserve"> gibi </w:t>
      </w:r>
      <w:r w:rsidR="6AB60076" w:rsidRPr="4B0E2DF7">
        <w:rPr>
          <w:sz w:val="24"/>
          <w:szCs w:val="24"/>
        </w:rPr>
        <w:t>Ekim ve K</w:t>
      </w:r>
      <w:r w:rsidR="328CC05C" w:rsidRPr="4B0E2DF7">
        <w:rPr>
          <w:sz w:val="24"/>
          <w:szCs w:val="24"/>
        </w:rPr>
        <w:t xml:space="preserve">asım ayında </w:t>
      </w:r>
      <w:r w:rsidRPr="4B0E2DF7">
        <w:rPr>
          <w:sz w:val="24"/>
          <w:szCs w:val="24"/>
        </w:rPr>
        <w:t>salgının yoğun olduğu</w:t>
      </w:r>
      <w:r w:rsidR="40048CD1" w:rsidRPr="4B0E2DF7">
        <w:rPr>
          <w:sz w:val="24"/>
          <w:szCs w:val="24"/>
        </w:rPr>
        <w:t xml:space="preserve"> bölgelerde belirgin azalma görülürken, Adana, Antalya, </w:t>
      </w:r>
      <w:r w:rsidR="5F03C696" w:rsidRPr="4B0E2DF7">
        <w:rPr>
          <w:sz w:val="24"/>
          <w:szCs w:val="24"/>
        </w:rPr>
        <w:t xml:space="preserve">Aydın, </w:t>
      </w:r>
      <w:r w:rsidR="40048CD1" w:rsidRPr="4B0E2DF7">
        <w:rPr>
          <w:sz w:val="24"/>
          <w:szCs w:val="24"/>
        </w:rPr>
        <w:t xml:space="preserve">İzmir, </w:t>
      </w:r>
      <w:r w:rsidR="05E0D1EE" w:rsidRPr="4B0E2DF7">
        <w:rPr>
          <w:sz w:val="24"/>
          <w:szCs w:val="24"/>
        </w:rPr>
        <w:t>Mersin,</w:t>
      </w:r>
      <w:r w:rsidR="242F6720" w:rsidRPr="4B0E2DF7">
        <w:rPr>
          <w:sz w:val="24"/>
          <w:szCs w:val="24"/>
        </w:rPr>
        <w:t xml:space="preserve"> </w:t>
      </w:r>
      <w:r w:rsidR="28DAC8C0" w:rsidRPr="4B0E2DF7">
        <w:rPr>
          <w:sz w:val="24"/>
          <w:szCs w:val="24"/>
        </w:rPr>
        <w:t xml:space="preserve">Muğla, </w:t>
      </w:r>
      <w:r w:rsidR="242F6720" w:rsidRPr="4B0E2DF7">
        <w:rPr>
          <w:sz w:val="24"/>
          <w:szCs w:val="24"/>
        </w:rPr>
        <w:t>Samsun</w:t>
      </w:r>
      <w:r w:rsidR="05E0D1EE" w:rsidRPr="4B0E2DF7">
        <w:rPr>
          <w:sz w:val="24"/>
          <w:szCs w:val="24"/>
        </w:rPr>
        <w:t xml:space="preserve"> </w:t>
      </w:r>
      <w:r w:rsidR="100B9B70" w:rsidRPr="4B0E2DF7">
        <w:rPr>
          <w:sz w:val="24"/>
          <w:szCs w:val="24"/>
        </w:rPr>
        <w:t>iller</w:t>
      </w:r>
      <w:r w:rsidR="089F1A86" w:rsidRPr="4B0E2DF7">
        <w:rPr>
          <w:sz w:val="24"/>
          <w:szCs w:val="24"/>
        </w:rPr>
        <w:t>in</w:t>
      </w:r>
      <w:r w:rsidR="100B9B70" w:rsidRPr="4B0E2DF7">
        <w:rPr>
          <w:sz w:val="24"/>
          <w:szCs w:val="24"/>
        </w:rPr>
        <w:t xml:space="preserve">de çok yoğun artış yaşanmıştır. </w:t>
      </w:r>
      <w:r w:rsidR="06F63DC0" w:rsidRPr="4B0E2DF7">
        <w:rPr>
          <w:rFonts w:ascii="Calibri" w:eastAsia="Calibri" w:hAnsi="Calibri" w:cs="Calibri"/>
          <w:b/>
          <w:bCs/>
          <w:sz w:val="24"/>
          <w:szCs w:val="24"/>
        </w:rPr>
        <w:t>Vaka sayılarındaki değişimler tedbirlerden bağımsızdır</w:t>
      </w:r>
      <w:r w:rsidR="06F63DC0" w:rsidRPr="4B0E2DF7">
        <w:rPr>
          <w:rFonts w:ascii="Calibri" w:eastAsia="Calibri" w:hAnsi="Calibri" w:cs="Calibri"/>
          <w:sz w:val="24"/>
          <w:szCs w:val="24"/>
        </w:rPr>
        <w:t>.</w:t>
      </w:r>
    </w:p>
    <w:p w14:paraId="5A57224E" w14:textId="74878982" w:rsidR="00331D9E" w:rsidRPr="000B5FA5" w:rsidRDefault="20CDC8A3" w:rsidP="47108F29">
      <w:pPr>
        <w:rPr>
          <w:sz w:val="24"/>
          <w:szCs w:val="24"/>
        </w:rPr>
      </w:pPr>
      <w:r w:rsidRPr="4B0E2DF7">
        <w:rPr>
          <w:sz w:val="24"/>
          <w:szCs w:val="24"/>
        </w:rPr>
        <w:t>Ankara ilinde Eylül ayında yoğun bir vaka artışı yaşamışken Ekim ayında azalmış, Kasım’da yeniden bir artış ve ardından hafif bir azalma yaşanmıştır. Çalışma v</w:t>
      </w:r>
      <w:r w:rsidR="4DD4ADA8" w:rsidRPr="4B0E2DF7">
        <w:rPr>
          <w:sz w:val="24"/>
          <w:szCs w:val="24"/>
        </w:rPr>
        <w:t xml:space="preserve">erileri illere özel bir örneklem içermese de aile hekimlerindeki vaka sayılarındaki değişim alınan tedbirlerle doğru </w:t>
      </w:r>
      <w:r w:rsidR="4DD4ADA8" w:rsidRPr="4B0E2DF7">
        <w:rPr>
          <w:sz w:val="24"/>
          <w:szCs w:val="24"/>
        </w:rPr>
        <w:lastRenderedPageBreak/>
        <w:t>orantılı değildir. Gözlemlenen değişimlerin salgının başından bu yana dile getirdiğimiz merkezi değ</w:t>
      </w:r>
      <w:r w:rsidR="525C77E5" w:rsidRPr="4B0E2DF7">
        <w:rPr>
          <w:sz w:val="24"/>
          <w:szCs w:val="24"/>
        </w:rPr>
        <w:t xml:space="preserve">il </w:t>
      </w:r>
      <w:r w:rsidR="4DD4ADA8" w:rsidRPr="4B0E2DF7">
        <w:rPr>
          <w:sz w:val="24"/>
          <w:szCs w:val="24"/>
        </w:rPr>
        <w:t>yerel önl</w:t>
      </w:r>
      <w:r w:rsidR="37B2A3EC" w:rsidRPr="4B0E2DF7">
        <w:rPr>
          <w:sz w:val="24"/>
          <w:szCs w:val="24"/>
        </w:rPr>
        <w:t xml:space="preserve">emler alınması </w:t>
      </w:r>
      <w:r w:rsidR="16BEDFE6" w:rsidRPr="4B0E2DF7">
        <w:rPr>
          <w:sz w:val="24"/>
          <w:szCs w:val="24"/>
        </w:rPr>
        <w:t xml:space="preserve">ve salgının yerelde yayılımının önlenmesi </w:t>
      </w:r>
      <w:r w:rsidR="37B2A3EC" w:rsidRPr="4B0E2DF7">
        <w:rPr>
          <w:sz w:val="24"/>
          <w:szCs w:val="24"/>
        </w:rPr>
        <w:t xml:space="preserve">gereğini bir kez daha </w:t>
      </w:r>
      <w:r w:rsidR="0D09CDAC" w:rsidRPr="4B0E2DF7">
        <w:rPr>
          <w:sz w:val="24"/>
          <w:szCs w:val="24"/>
        </w:rPr>
        <w:t>hatırlatmaktadır</w:t>
      </w:r>
      <w:r w:rsidR="37B2A3EC" w:rsidRPr="4B0E2DF7">
        <w:rPr>
          <w:sz w:val="24"/>
          <w:szCs w:val="24"/>
        </w:rPr>
        <w:t>.</w:t>
      </w:r>
    </w:p>
    <w:p w14:paraId="5CD990F2" w14:textId="3D613898" w:rsidR="00331D9E" w:rsidRPr="000B5FA5" w:rsidRDefault="37B2A3EC" w:rsidP="000B5FA5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Sonbahar 2020’de </w:t>
      </w:r>
      <w:r w:rsidR="2EFD5C57"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3 Milyona Yakın </w:t>
      </w: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Kişi COVID Geçirdi</w:t>
      </w:r>
      <w:r w:rsidR="3F6ABD6F"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.</w:t>
      </w:r>
    </w:p>
    <w:p w14:paraId="242B03A7" w14:textId="1D0771D4" w:rsidR="00331D9E" w:rsidRPr="000B5FA5" w:rsidRDefault="116E207A" w:rsidP="47108F29">
      <w:pPr>
        <w:rPr>
          <w:sz w:val="24"/>
          <w:szCs w:val="24"/>
        </w:rPr>
      </w:pPr>
      <w:r w:rsidRPr="000B5FA5">
        <w:rPr>
          <w:sz w:val="24"/>
          <w:szCs w:val="24"/>
        </w:rPr>
        <w:t>Sağlık Bakanlığı geriye dönük kısm</w:t>
      </w:r>
      <w:r w:rsidR="006D33B2" w:rsidRPr="000B5FA5">
        <w:rPr>
          <w:sz w:val="24"/>
          <w:szCs w:val="24"/>
        </w:rPr>
        <w:t>i</w:t>
      </w:r>
      <w:r w:rsidRPr="000B5FA5">
        <w:rPr>
          <w:sz w:val="24"/>
          <w:szCs w:val="24"/>
        </w:rPr>
        <w:t xml:space="preserve"> olarak düzeltme yapmış olsa da aile hekimliği anketi</w:t>
      </w:r>
      <w:r w:rsidR="0B8CB9E6" w:rsidRPr="000B5FA5">
        <w:rPr>
          <w:sz w:val="24"/>
          <w:szCs w:val="24"/>
        </w:rPr>
        <w:t xml:space="preserve"> dönemi boyunca elde edilen veriler sadece bu 3 aylık dönemde 3 milyona yakın yeni vaka olduğunu işaret etmektedir.</w:t>
      </w:r>
      <w:r w:rsidR="4C13A88D" w:rsidRPr="000B5FA5">
        <w:rPr>
          <w:sz w:val="24"/>
          <w:szCs w:val="24"/>
        </w:rPr>
        <w:t xml:space="preserve"> Çalışmaya başladığımız </w:t>
      </w:r>
      <w:r w:rsidR="304516B3" w:rsidRPr="000B5FA5">
        <w:rPr>
          <w:sz w:val="24"/>
          <w:szCs w:val="24"/>
        </w:rPr>
        <w:t xml:space="preserve">dönem boyunca Sağlık Bakanlığı önce vaka hasta ayırımını, sonra </w:t>
      </w:r>
      <w:r w:rsidR="00BA100F" w:rsidRPr="000B5FA5">
        <w:rPr>
          <w:sz w:val="24"/>
          <w:szCs w:val="24"/>
        </w:rPr>
        <w:t>günlük</w:t>
      </w:r>
      <w:r w:rsidR="304516B3" w:rsidRPr="000B5FA5">
        <w:rPr>
          <w:sz w:val="24"/>
          <w:szCs w:val="24"/>
        </w:rPr>
        <w:t xml:space="preserve"> vaka sayılarını ve en son olarak da geriye dönük toplam vaka sayılarını açıklamış bulunuyor. Ancak çalışmamızda elde edilen veriler bu sayılarda halen</w:t>
      </w:r>
      <w:r w:rsidR="006D33B2" w:rsidRPr="000B5FA5">
        <w:rPr>
          <w:sz w:val="24"/>
          <w:szCs w:val="24"/>
        </w:rPr>
        <w:t xml:space="preserve"> önemli</w:t>
      </w:r>
      <w:r w:rsidR="304516B3" w:rsidRPr="000B5FA5">
        <w:rPr>
          <w:sz w:val="24"/>
          <w:szCs w:val="24"/>
        </w:rPr>
        <w:t xml:space="preserve"> eksiklikler olduğunu işaret etmektedir.</w:t>
      </w:r>
    </w:p>
    <w:p w14:paraId="078C81CE" w14:textId="055998D4" w:rsidR="000F1A52" w:rsidRPr="000F1A52" w:rsidRDefault="000F1A52" w:rsidP="000F1A52">
      <w:pPr>
        <w:rPr>
          <w:b/>
        </w:rPr>
      </w:pPr>
      <w:r w:rsidRPr="000F1A52">
        <w:rPr>
          <w:b/>
        </w:rPr>
        <w:t xml:space="preserve">Aile Hekimi Başına </w:t>
      </w:r>
      <w:r w:rsidR="002C57FF">
        <w:rPr>
          <w:b/>
        </w:rPr>
        <w:t xml:space="preserve">PCR+ </w:t>
      </w:r>
      <w:r w:rsidRPr="000F1A52">
        <w:rPr>
          <w:b/>
        </w:rPr>
        <w:t>Vaka Ortalamalarının Aylara Göre Değişimi</w:t>
      </w:r>
    </w:p>
    <w:tbl>
      <w:tblPr>
        <w:tblStyle w:val="DzTablo51"/>
        <w:tblW w:w="0" w:type="auto"/>
        <w:tblLook w:val="04A0" w:firstRow="1" w:lastRow="0" w:firstColumn="1" w:lastColumn="0" w:noHBand="0" w:noVBand="1"/>
      </w:tblPr>
      <w:tblGrid>
        <w:gridCol w:w="1000"/>
        <w:gridCol w:w="1000"/>
        <w:gridCol w:w="1050"/>
        <w:gridCol w:w="1000"/>
        <w:gridCol w:w="990"/>
        <w:gridCol w:w="999"/>
        <w:gridCol w:w="993"/>
        <w:gridCol w:w="997"/>
        <w:gridCol w:w="997"/>
      </w:tblGrid>
      <w:tr w:rsidR="00DC5895" w14:paraId="2FB0099B" w14:textId="77777777" w:rsidTr="4B0E2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dxa"/>
          </w:tcPr>
          <w:p w14:paraId="553DC7CA" w14:textId="77777777" w:rsidR="00DC5895" w:rsidRDefault="00DC5895" w:rsidP="4B0E2DF7">
            <w:pPr>
              <w:rPr>
                <w:sz w:val="22"/>
              </w:rPr>
            </w:pPr>
          </w:p>
        </w:tc>
        <w:tc>
          <w:tcPr>
            <w:tcW w:w="1000" w:type="dxa"/>
          </w:tcPr>
          <w:p w14:paraId="3E266457" w14:textId="44486508" w:rsidR="00DC5895" w:rsidRDefault="78F84162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 xml:space="preserve">Türkiye </w:t>
            </w:r>
          </w:p>
        </w:tc>
        <w:tc>
          <w:tcPr>
            <w:tcW w:w="1050" w:type="dxa"/>
          </w:tcPr>
          <w:p w14:paraId="61E43891" w14:textId="37C4184B" w:rsidR="00DC5895" w:rsidRDefault="78F84162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İstanbul</w:t>
            </w:r>
          </w:p>
        </w:tc>
        <w:tc>
          <w:tcPr>
            <w:tcW w:w="1000" w:type="dxa"/>
          </w:tcPr>
          <w:p w14:paraId="0B5B0026" w14:textId="78E4B8D4" w:rsidR="00DC5895" w:rsidRDefault="78F84162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Ankara</w:t>
            </w:r>
          </w:p>
        </w:tc>
        <w:tc>
          <w:tcPr>
            <w:tcW w:w="990" w:type="dxa"/>
          </w:tcPr>
          <w:p w14:paraId="3D2173BE" w14:textId="79939712" w:rsidR="00DC5895" w:rsidRDefault="78F84162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İzmir</w:t>
            </w:r>
          </w:p>
        </w:tc>
        <w:tc>
          <w:tcPr>
            <w:tcW w:w="999" w:type="dxa"/>
          </w:tcPr>
          <w:p w14:paraId="476213DE" w14:textId="2E1789B2" w:rsidR="00DC5895" w:rsidRDefault="78F84162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Mersin</w:t>
            </w:r>
          </w:p>
        </w:tc>
        <w:tc>
          <w:tcPr>
            <w:tcW w:w="993" w:type="dxa"/>
          </w:tcPr>
          <w:p w14:paraId="18A10F4E" w14:textId="580A4AC1" w:rsidR="00DC5895" w:rsidRDefault="78F84162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Bursa</w:t>
            </w:r>
          </w:p>
        </w:tc>
        <w:tc>
          <w:tcPr>
            <w:tcW w:w="997" w:type="dxa"/>
          </w:tcPr>
          <w:p w14:paraId="75D4ED23" w14:textId="1DE2A6D5" w:rsidR="00DC5895" w:rsidRDefault="78F84162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Muğla</w:t>
            </w:r>
          </w:p>
        </w:tc>
        <w:tc>
          <w:tcPr>
            <w:tcW w:w="997" w:type="dxa"/>
          </w:tcPr>
          <w:p w14:paraId="049A54B3" w14:textId="1B26EF41" w:rsidR="00DC5895" w:rsidRDefault="78F84162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Adana</w:t>
            </w:r>
          </w:p>
        </w:tc>
      </w:tr>
      <w:tr w:rsidR="00DC5895" w14:paraId="2302C08C" w14:textId="77777777" w:rsidTr="4B0E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0F6D4A17" w14:textId="339D8D43" w:rsidR="00DC5895" w:rsidRDefault="78F84162" w:rsidP="4B0E2DF7">
            <w:pPr>
              <w:rPr>
                <w:sz w:val="22"/>
              </w:rPr>
            </w:pPr>
            <w:r w:rsidRPr="4B0E2DF7">
              <w:rPr>
                <w:sz w:val="22"/>
              </w:rPr>
              <w:t>EYLÜL</w:t>
            </w:r>
            <w:r w:rsidR="4D190D5D" w:rsidRPr="4B0E2DF7">
              <w:rPr>
                <w:sz w:val="22"/>
              </w:rPr>
              <w:t>*</w:t>
            </w:r>
          </w:p>
        </w:tc>
        <w:tc>
          <w:tcPr>
            <w:tcW w:w="1000" w:type="dxa"/>
          </w:tcPr>
          <w:p w14:paraId="6EC01278" w14:textId="2B747053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8,5</w:t>
            </w:r>
          </w:p>
        </w:tc>
        <w:tc>
          <w:tcPr>
            <w:tcW w:w="1050" w:type="dxa"/>
          </w:tcPr>
          <w:p w14:paraId="599175AF" w14:textId="2D05FA5E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6,38</w:t>
            </w:r>
          </w:p>
        </w:tc>
        <w:tc>
          <w:tcPr>
            <w:tcW w:w="1000" w:type="dxa"/>
          </w:tcPr>
          <w:p w14:paraId="3C5CB096" w14:textId="5962B64C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22,58</w:t>
            </w:r>
          </w:p>
        </w:tc>
        <w:tc>
          <w:tcPr>
            <w:tcW w:w="990" w:type="dxa"/>
          </w:tcPr>
          <w:p w14:paraId="4AEF478E" w14:textId="3AF86CC2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5,07</w:t>
            </w:r>
          </w:p>
        </w:tc>
        <w:tc>
          <w:tcPr>
            <w:tcW w:w="999" w:type="dxa"/>
          </w:tcPr>
          <w:p w14:paraId="5898DCFD" w14:textId="67711E93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5,62</w:t>
            </w:r>
          </w:p>
        </w:tc>
        <w:tc>
          <w:tcPr>
            <w:tcW w:w="993" w:type="dxa"/>
          </w:tcPr>
          <w:p w14:paraId="7B62BDE8" w14:textId="79AECDE8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6,06</w:t>
            </w:r>
          </w:p>
        </w:tc>
        <w:tc>
          <w:tcPr>
            <w:tcW w:w="997" w:type="dxa"/>
          </w:tcPr>
          <w:p w14:paraId="161C71FB" w14:textId="421E3BAF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3,82</w:t>
            </w:r>
          </w:p>
        </w:tc>
        <w:tc>
          <w:tcPr>
            <w:tcW w:w="997" w:type="dxa"/>
          </w:tcPr>
          <w:p w14:paraId="5C4D7808" w14:textId="1CE492E6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7,6</w:t>
            </w:r>
          </w:p>
        </w:tc>
      </w:tr>
      <w:tr w:rsidR="00DC5895" w14:paraId="64EC2774" w14:textId="77777777" w:rsidTr="4B0E2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3BA17514" w14:textId="07E451BB" w:rsidR="00DC5895" w:rsidRDefault="78F84162" w:rsidP="4B0E2DF7">
            <w:pPr>
              <w:rPr>
                <w:sz w:val="22"/>
              </w:rPr>
            </w:pPr>
            <w:r w:rsidRPr="4B0E2DF7">
              <w:rPr>
                <w:sz w:val="22"/>
              </w:rPr>
              <w:t>EKİM</w:t>
            </w:r>
          </w:p>
        </w:tc>
        <w:tc>
          <w:tcPr>
            <w:tcW w:w="1000" w:type="dxa"/>
          </w:tcPr>
          <w:p w14:paraId="3C155F46" w14:textId="5D20340B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6,53</w:t>
            </w:r>
          </w:p>
        </w:tc>
        <w:tc>
          <w:tcPr>
            <w:tcW w:w="1050" w:type="dxa"/>
          </w:tcPr>
          <w:p w14:paraId="1AF4E68F" w14:textId="37798448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7,06</w:t>
            </w:r>
          </w:p>
        </w:tc>
        <w:tc>
          <w:tcPr>
            <w:tcW w:w="1000" w:type="dxa"/>
          </w:tcPr>
          <w:p w14:paraId="403DC587" w14:textId="4BD4826A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12,11</w:t>
            </w:r>
          </w:p>
        </w:tc>
        <w:tc>
          <w:tcPr>
            <w:tcW w:w="990" w:type="dxa"/>
          </w:tcPr>
          <w:p w14:paraId="1CCFB41F" w14:textId="329C088E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3,64</w:t>
            </w:r>
          </w:p>
        </w:tc>
        <w:tc>
          <w:tcPr>
            <w:tcW w:w="999" w:type="dxa"/>
          </w:tcPr>
          <w:p w14:paraId="673DC833" w14:textId="27010694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3,12</w:t>
            </w:r>
          </w:p>
        </w:tc>
        <w:tc>
          <w:tcPr>
            <w:tcW w:w="993" w:type="dxa"/>
          </w:tcPr>
          <w:p w14:paraId="48363C8C" w14:textId="6D66312E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7,1</w:t>
            </w:r>
          </w:p>
        </w:tc>
        <w:tc>
          <w:tcPr>
            <w:tcW w:w="997" w:type="dxa"/>
          </w:tcPr>
          <w:p w14:paraId="63BD8F8A" w14:textId="0479B49D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1,73</w:t>
            </w:r>
          </w:p>
        </w:tc>
        <w:tc>
          <w:tcPr>
            <w:tcW w:w="997" w:type="dxa"/>
          </w:tcPr>
          <w:p w14:paraId="7A388250" w14:textId="4C12AB19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4</w:t>
            </w:r>
          </w:p>
        </w:tc>
      </w:tr>
      <w:tr w:rsidR="00DC5895" w14:paraId="1DA1C5D7" w14:textId="77777777" w:rsidTr="4B0E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52B278A9" w14:textId="033AC38A" w:rsidR="00DC5895" w:rsidRDefault="78F84162" w:rsidP="4B0E2DF7">
            <w:pPr>
              <w:rPr>
                <w:sz w:val="22"/>
              </w:rPr>
            </w:pPr>
            <w:r w:rsidRPr="4B0E2DF7">
              <w:rPr>
                <w:sz w:val="22"/>
              </w:rPr>
              <w:t>KASIM</w:t>
            </w:r>
          </w:p>
        </w:tc>
        <w:tc>
          <w:tcPr>
            <w:tcW w:w="1000" w:type="dxa"/>
          </w:tcPr>
          <w:p w14:paraId="23CBDE56" w14:textId="006C365D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19,79</w:t>
            </w:r>
          </w:p>
        </w:tc>
        <w:tc>
          <w:tcPr>
            <w:tcW w:w="1050" w:type="dxa"/>
          </w:tcPr>
          <w:p w14:paraId="5F1D5525" w14:textId="526E4E3A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31,12</w:t>
            </w:r>
          </w:p>
        </w:tc>
        <w:tc>
          <w:tcPr>
            <w:tcW w:w="1000" w:type="dxa"/>
          </w:tcPr>
          <w:p w14:paraId="0358465C" w14:textId="6CBBD9A2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23,95</w:t>
            </w:r>
          </w:p>
        </w:tc>
        <w:tc>
          <w:tcPr>
            <w:tcW w:w="990" w:type="dxa"/>
          </w:tcPr>
          <w:p w14:paraId="6C8FE9B2" w14:textId="7D990F63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14,2</w:t>
            </w:r>
          </w:p>
        </w:tc>
        <w:tc>
          <w:tcPr>
            <w:tcW w:w="999" w:type="dxa"/>
          </w:tcPr>
          <w:p w14:paraId="68054D4B" w14:textId="73F04CC3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5,5</w:t>
            </w:r>
          </w:p>
        </w:tc>
        <w:tc>
          <w:tcPr>
            <w:tcW w:w="993" w:type="dxa"/>
          </w:tcPr>
          <w:p w14:paraId="2E732B5C" w14:textId="64BDC229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35,22</w:t>
            </w:r>
          </w:p>
        </w:tc>
        <w:tc>
          <w:tcPr>
            <w:tcW w:w="997" w:type="dxa"/>
          </w:tcPr>
          <w:p w14:paraId="13533E98" w14:textId="5ECE7955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7,3</w:t>
            </w:r>
          </w:p>
        </w:tc>
        <w:tc>
          <w:tcPr>
            <w:tcW w:w="997" w:type="dxa"/>
          </w:tcPr>
          <w:p w14:paraId="7B94FC58" w14:textId="321194EF" w:rsidR="00DC5895" w:rsidRDefault="78F84162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11,12</w:t>
            </w:r>
          </w:p>
        </w:tc>
      </w:tr>
      <w:tr w:rsidR="00DC5895" w14:paraId="7F37EE0B" w14:textId="77777777" w:rsidTr="4B0E2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622F84F9" w14:textId="678B739B" w:rsidR="00DC5895" w:rsidRDefault="78F84162" w:rsidP="4B0E2DF7">
            <w:pPr>
              <w:rPr>
                <w:sz w:val="22"/>
              </w:rPr>
            </w:pPr>
            <w:r w:rsidRPr="4B0E2DF7">
              <w:rPr>
                <w:sz w:val="22"/>
              </w:rPr>
              <w:t>ARALIK</w:t>
            </w:r>
          </w:p>
        </w:tc>
        <w:tc>
          <w:tcPr>
            <w:tcW w:w="1000" w:type="dxa"/>
          </w:tcPr>
          <w:p w14:paraId="540D2351" w14:textId="6BDEF8E4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22,55</w:t>
            </w:r>
          </w:p>
        </w:tc>
        <w:tc>
          <w:tcPr>
            <w:tcW w:w="1050" w:type="dxa"/>
          </w:tcPr>
          <w:p w14:paraId="1710B29F" w14:textId="63FF3F22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21,69</w:t>
            </w:r>
          </w:p>
        </w:tc>
        <w:tc>
          <w:tcPr>
            <w:tcW w:w="1000" w:type="dxa"/>
          </w:tcPr>
          <w:p w14:paraId="76A12938" w14:textId="5225E261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17,74</w:t>
            </w:r>
          </w:p>
        </w:tc>
        <w:tc>
          <w:tcPr>
            <w:tcW w:w="990" w:type="dxa"/>
          </w:tcPr>
          <w:p w14:paraId="1FB730AC" w14:textId="126A73B7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25,8</w:t>
            </w:r>
          </w:p>
        </w:tc>
        <w:tc>
          <w:tcPr>
            <w:tcW w:w="999" w:type="dxa"/>
          </w:tcPr>
          <w:p w14:paraId="51D2FC8B" w14:textId="18E5EA1B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21,11</w:t>
            </w:r>
          </w:p>
        </w:tc>
        <w:tc>
          <w:tcPr>
            <w:tcW w:w="993" w:type="dxa"/>
          </w:tcPr>
          <w:p w14:paraId="262F33F8" w14:textId="4752D13E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28,88</w:t>
            </w:r>
          </w:p>
        </w:tc>
        <w:tc>
          <w:tcPr>
            <w:tcW w:w="997" w:type="dxa"/>
          </w:tcPr>
          <w:p w14:paraId="7BE971E7" w14:textId="4F3223A5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14,28</w:t>
            </w:r>
          </w:p>
        </w:tc>
        <w:tc>
          <w:tcPr>
            <w:tcW w:w="997" w:type="dxa"/>
          </w:tcPr>
          <w:p w14:paraId="45C3AFB1" w14:textId="518E4EE7" w:rsidR="00DC5895" w:rsidRDefault="78F84162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44,85</w:t>
            </w:r>
          </w:p>
        </w:tc>
      </w:tr>
    </w:tbl>
    <w:p w14:paraId="1DB4442F" w14:textId="453760A4" w:rsidR="00331D9E" w:rsidRPr="006754DF" w:rsidRDefault="000F1A52" w:rsidP="47108F29">
      <w:pPr>
        <w:rPr>
          <w:i/>
        </w:rPr>
      </w:pPr>
      <w:r w:rsidRPr="006754DF">
        <w:rPr>
          <w:i/>
        </w:rPr>
        <w:t xml:space="preserve"> Eylül ayında PCR+ karantina süresi 14 gün iken diğer aylarda 10 güne düşürülmüştür</w:t>
      </w:r>
      <w:r w:rsidR="7710FEA9" w:rsidRPr="006754DF">
        <w:rPr>
          <w:i/>
        </w:rPr>
        <w:t>.</w:t>
      </w:r>
    </w:p>
    <w:p w14:paraId="50C5A4FC" w14:textId="34FFB44F" w:rsidR="6830D2EF" w:rsidRDefault="000F1A52" w:rsidP="000B5FA5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Rehber Değişiklikleri, </w:t>
      </w:r>
      <w:r w:rsidR="6830D2EF" w:rsidRPr="000B5FA5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Açılmalar ve Tatiller Vaka Sayılarını Nasıl Etkiledi?</w:t>
      </w:r>
    </w:p>
    <w:p w14:paraId="620E0CFD" w14:textId="77777777" w:rsidR="00434FBD" w:rsidRPr="00434FBD" w:rsidRDefault="6C54D5A0" w:rsidP="00434FBD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</w:pP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>Okulların açılması vaka sayılarını artırdı</w:t>
      </w:r>
      <w:proofErr w:type="gramStart"/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>….</w:t>
      </w:r>
      <w:proofErr w:type="gramEnd"/>
    </w:p>
    <w:p w14:paraId="76678A38" w14:textId="77777777" w:rsidR="002C57FF" w:rsidRPr="000B5FA5" w:rsidRDefault="00D444C6" w:rsidP="47108F29">
      <w:pPr>
        <w:rPr>
          <w:sz w:val="24"/>
          <w:szCs w:val="24"/>
        </w:rPr>
      </w:pPr>
      <w:r w:rsidRPr="000B5FA5">
        <w:rPr>
          <w:sz w:val="24"/>
          <w:szCs w:val="24"/>
        </w:rPr>
        <w:t>Sağlık Bakanlığı COVID rehberindeki güncelleme ile PCR+ vakaların evde karantina süreleri Eylül ayında 10 güne indirilmiş ve Aralık ayına girildiğinde 7. Gün PCR testinin negatif çıkması ile karantina sürelerinin sonla</w:t>
      </w:r>
      <w:r w:rsidR="002C57FF" w:rsidRPr="000B5FA5">
        <w:rPr>
          <w:sz w:val="24"/>
          <w:szCs w:val="24"/>
        </w:rPr>
        <w:t xml:space="preserve">ndırılabileceği belirtilmiştir. Bu sayede Ekim ayında vaka ortalamalarında düşme görülmüştür. </w:t>
      </w:r>
    </w:p>
    <w:p w14:paraId="7B03D097" w14:textId="31098EB7" w:rsidR="002C57FF" w:rsidRPr="000B5FA5" w:rsidRDefault="351AB88F" w:rsidP="47108F29">
      <w:pPr>
        <w:rPr>
          <w:sz w:val="24"/>
          <w:szCs w:val="24"/>
        </w:rPr>
      </w:pPr>
      <w:r w:rsidRPr="4B0E2DF7">
        <w:rPr>
          <w:sz w:val="24"/>
          <w:szCs w:val="24"/>
        </w:rPr>
        <w:t>Vaka sayılarındaki değişim ve alınan kısıtlama ve açılma kararlarına baktığımızda</w:t>
      </w:r>
      <w:r w:rsidR="4D190D5D" w:rsidRPr="4B0E2DF7">
        <w:rPr>
          <w:sz w:val="24"/>
          <w:szCs w:val="24"/>
        </w:rPr>
        <w:t>;</w:t>
      </w:r>
      <w:r w:rsidRPr="4B0E2DF7">
        <w:rPr>
          <w:sz w:val="24"/>
          <w:szCs w:val="24"/>
        </w:rPr>
        <w:t xml:space="preserve"> </w:t>
      </w:r>
      <w:r w:rsidRPr="4B0E2DF7">
        <w:rPr>
          <w:b/>
          <w:bCs/>
          <w:sz w:val="24"/>
          <w:szCs w:val="24"/>
        </w:rPr>
        <w:t xml:space="preserve">21 Eylül’de </w:t>
      </w:r>
      <w:r w:rsidR="7E60F258" w:rsidRPr="4B0E2DF7">
        <w:rPr>
          <w:b/>
          <w:bCs/>
          <w:sz w:val="24"/>
          <w:szCs w:val="24"/>
        </w:rPr>
        <w:t xml:space="preserve">İlkokul 1 ve Hazırlık sınıflarının, 12 Ekim’de 2-3-4-8-12. </w:t>
      </w:r>
      <w:r w:rsidR="3FA702A2" w:rsidRPr="4B0E2DF7">
        <w:rPr>
          <w:b/>
          <w:bCs/>
          <w:sz w:val="24"/>
          <w:szCs w:val="24"/>
        </w:rPr>
        <w:t>s</w:t>
      </w:r>
      <w:r w:rsidR="7E60F258" w:rsidRPr="4B0E2DF7">
        <w:rPr>
          <w:b/>
          <w:bCs/>
          <w:sz w:val="24"/>
          <w:szCs w:val="24"/>
        </w:rPr>
        <w:t xml:space="preserve">ınıfların </w:t>
      </w:r>
      <w:r w:rsidR="11EA69BD" w:rsidRPr="4B0E2DF7">
        <w:rPr>
          <w:b/>
          <w:bCs/>
          <w:sz w:val="24"/>
          <w:szCs w:val="24"/>
        </w:rPr>
        <w:t xml:space="preserve">2 gün 5 ve 9. sınıflar ise 5 gün </w:t>
      </w:r>
      <w:r w:rsidR="7E60F258" w:rsidRPr="4B0E2DF7">
        <w:rPr>
          <w:b/>
          <w:bCs/>
          <w:sz w:val="24"/>
          <w:szCs w:val="24"/>
        </w:rPr>
        <w:t>yüz yüze eğitime başlaması ile vaka sayılarının arttığı görülmektedir</w:t>
      </w:r>
      <w:r w:rsidR="7E60F258" w:rsidRPr="4B0E2DF7">
        <w:rPr>
          <w:sz w:val="24"/>
          <w:szCs w:val="24"/>
        </w:rPr>
        <w:t xml:space="preserve">. İzmir depremi ve 29 Ekim </w:t>
      </w:r>
      <w:r w:rsidR="064FC7DF" w:rsidRPr="4B0E2DF7">
        <w:rPr>
          <w:sz w:val="24"/>
          <w:szCs w:val="24"/>
        </w:rPr>
        <w:t xml:space="preserve">4 günlük tatilinin Ege ve Akdeniz illerindeki artış ile uyumlu olduğu dikkati çekmektedir. </w:t>
      </w:r>
      <w:r w:rsidR="7740E165" w:rsidRPr="4B0E2DF7">
        <w:rPr>
          <w:sz w:val="24"/>
          <w:szCs w:val="24"/>
        </w:rPr>
        <w:t xml:space="preserve">Tüm bu yerel salgın </w:t>
      </w:r>
      <w:r w:rsidR="6C54D5A0" w:rsidRPr="4B0E2DF7">
        <w:rPr>
          <w:sz w:val="24"/>
          <w:szCs w:val="24"/>
        </w:rPr>
        <w:t>dinamiklerinin</w:t>
      </w:r>
      <w:r w:rsidR="7740E165" w:rsidRPr="4B0E2DF7">
        <w:rPr>
          <w:sz w:val="24"/>
          <w:szCs w:val="24"/>
        </w:rPr>
        <w:t xml:space="preserve"> sahada çalışan aile hekimleri ile birlikte belirlenmesi, salgının seyrini anlamamızı ve uygun müdahale yolları bulmamızı sağlayacaktır.</w:t>
      </w:r>
    </w:p>
    <w:p w14:paraId="286330B2" w14:textId="397A6269" w:rsidR="002C57FF" w:rsidRPr="000F1A52" w:rsidRDefault="67FEF10A" w:rsidP="4B0E2DF7">
      <w:pPr>
        <w:rPr>
          <w:b/>
          <w:bCs/>
        </w:rPr>
      </w:pPr>
      <w:r w:rsidRPr="4B0E2DF7">
        <w:rPr>
          <w:b/>
          <w:bCs/>
        </w:rPr>
        <w:t>Aile Hekimi Başına İzlemdeki (</w:t>
      </w:r>
      <w:r w:rsidR="66919D1C" w:rsidRPr="4B0E2DF7">
        <w:rPr>
          <w:b/>
          <w:bCs/>
        </w:rPr>
        <w:t xml:space="preserve">Tüm </w:t>
      </w:r>
      <w:r w:rsidRPr="4B0E2DF7">
        <w:rPr>
          <w:b/>
          <w:bCs/>
        </w:rPr>
        <w:t>PCR+ ve Temaslılar) Ortalamalarının Aylara Göre Değişimi</w:t>
      </w:r>
    </w:p>
    <w:tbl>
      <w:tblPr>
        <w:tblStyle w:val="DzTablo51"/>
        <w:tblW w:w="0" w:type="auto"/>
        <w:tblLook w:val="04A0" w:firstRow="1" w:lastRow="0" w:firstColumn="1" w:lastColumn="0" w:noHBand="0" w:noVBand="1"/>
      </w:tblPr>
      <w:tblGrid>
        <w:gridCol w:w="1058"/>
        <w:gridCol w:w="1000"/>
        <w:gridCol w:w="1050"/>
        <w:gridCol w:w="1000"/>
        <w:gridCol w:w="990"/>
        <w:gridCol w:w="999"/>
        <w:gridCol w:w="993"/>
        <w:gridCol w:w="997"/>
        <w:gridCol w:w="997"/>
      </w:tblGrid>
      <w:tr w:rsidR="00DE1F2A" w14:paraId="7ED0D356" w14:textId="77777777" w:rsidTr="4B0E2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dxa"/>
          </w:tcPr>
          <w:p w14:paraId="004FDFE1" w14:textId="77777777" w:rsidR="002C57FF" w:rsidRDefault="002C57FF" w:rsidP="4B0E2DF7">
            <w:pPr>
              <w:rPr>
                <w:sz w:val="22"/>
              </w:rPr>
            </w:pPr>
          </w:p>
        </w:tc>
        <w:tc>
          <w:tcPr>
            <w:tcW w:w="1000" w:type="dxa"/>
          </w:tcPr>
          <w:p w14:paraId="134C6B98" w14:textId="77777777" w:rsidR="002C57FF" w:rsidRDefault="67FEF10A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 xml:space="preserve">Türkiye </w:t>
            </w:r>
          </w:p>
        </w:tc>
        <w:tc>
          <w:tcPr>
            <w:tcW w:w="1050" w:type="dxa"/>
          </w:tcPr>
          <w:p w14:paraId="75C86A2D" w14:textId="77777777" w:rsidR="002C57FF" w:rsidRDefault="67FEF10A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İstanbul</w:t>
            </w:r>
          </w:p>
        </w:tc>
        <w:tc>
          <w:tcPr>
            <w:tcW w:w="1000" w:type="dxa"/>
          </w:tcPr>
          <w:p w14:paraId="249E4541" w14:textId="77777777" w:rsidR="002C57FF" w:rsidRDefault="67FEF10A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Ankara</w:t>
            </w:r>
          </w:p>
        </w:tc>
        <w:tc>
          <w:tcPr>
            <w:tcW w:w="990" w:type="dxa"/>
          </w:tcPr>
          <w:p w14:paraId="66D392DF" w14:textId="77777777" w:rsidR="002C57FF" w:rsidRDefault="67FEF10A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İzmir</w:t>
            </w:r>
          </w:p>
        </w:tc>
        <w:tc>
          <w:tcPr>
            <w:tcW w:w="999" w:type="dxa"/>
          </w:tcPr>
          <w:p w14:paraId="5DB6610F" w14:textId="77777777" w:rsidR="002C57FF" w:rsidRDefault="67FEF10A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Mersin</w:t>
            </w:r>
          </w:p>
        </w:tc>
        <w:tc>
          <w:tcPr>
            <w:tcW w:w="993" w:type="dxa"/>
          </w:tcPr>
          <w:p w14:paraId="38B65371" w14:textId="77777777" w:rsidR="002C57FF" w:rsidRDefault="67FEF10A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Bursa</w:t>
            </w:r>
          </w:p>
        </w:tc>
        <w:tc>
          <w:tcPr>
            <w:tcW w:w="997" w:type="dxa"/>
          </w:tcPr>
          <w:p w14:paraId="45ABEB78" w14:textId="77777777" w:rsidR="002C57FF" w:rsidRDefault="67FEF10A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Muğla</w:t>
            </w:r>
          </w:p>
        </w:tc>
        <w:tc>
          <w:tcPr>
            <w:tcW w:w="997" w:type="dxa"/>
          </w:tcPr>
          <w:p w14:paraId="6F753721" w14:textId="77777777" w:rsidR="002C57FF" w:rsidRDefault="67FEF10A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B0E2DF7">
              <w:rPr>
                <w:sz w:val="22"/>
              </w:rPr>
              <w:t>Adana</w:t>
            </w:r>
          </w:p>
        </w:tc>
      </w:tr>
      <w:tr w:rsidR="00DE1F2A" w14:paraId="0F9D22E0" w14:textId="77777777" w:rsidTr="4B0E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2C488F3E" w14:textId="77777777" w:rsidR="00E15A78" w:rsidRDefault="6D235CB3" w:rsidP="4B0E2DF7">
            <w:pPr>
              <w:rPr>
                <w:sz w:val="22"/>
              </w:rPr>
            </w:pPr>
            <w:r w:rsidRPr="4B0E2DF7">
              <w:rPr>
                <w:sz w:val="22"/>
              </w:rPr>
              <w:t>EYLÜL*</w:t>
            </w:r>
          </w:p>
        </w:tc>
        <w:tc>
          <w:tcPr>
            <w:tcW w:w="1000" w:type="dxa"/>
          </w:tcPr>
          <w:p w14:paraId="76AC00E2" w14:textId="578FBE38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26,2</w:t>
            </w:r>
          </w:p>
        </w:tc>
        <w:tc>
          <w:tcPr>
            <w:tcW w:w="1050" w:type="dxa"/>
          </w:tcPr>
          <w:p w14:paraId="3FAAC341" w14:textId="35284851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19,2</w:t>
            </w:r>
          </w:p>
        </w:tc>
        <w:tc>
          <w:tcPr>
            <w:tcW w:w="1000" w:type="dxa"/>
          </w:tcPr>
          <w:p w14:paraId="151176D9" w14:textId="3686FA2B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68,4</w:t>
            </w:r>
          </w:p>
        </w:tc>
        <w:tc>
          <w:tcPr>
            <w:tcW w:w="990" w:type="dxa"/>
          </w:tcPr>
          <w:p w14:paraId="5A091B54" w14:textId="46609826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19,19</w:t>
            </w:r>
          </w:p>
        </w:tc>
        <w:tc>
          <w:tcPr>
            <w:tcW w:w="999" w:type="dxa"/>
          </w:tcPr>
          <w:p w14:paraId="2A6A3DB5" w14:textId="1E208A93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21,5</w:t>
            </w:r>
          </w:p>
        </w:tc>
        <w:tc>
          <w:tcPr>
            <w:tcW w:w="993" w:type="dxa"/>
          </w:tcPr>
          <w:p w14:paraId="48CE1A93" w14:textId="768456E3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31</w:t>
            </w:r>
          </w:p>
        </w:tc>
        <w:tc>
          <w:tcPr>
            <w:tcW w:w="997" w:type="dxa"/>
          </w:tcPr>
          <w:p w14:paraId="25DE60BB" w14:textId="7B13E0B1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8,94</w:t>
            </w:r>
          </w:p>
        </w:tc>
        <w:tc>
          <w:tcPr>
            <w:tcW w:w="997" w:type="dxa"/>
          </w:tcPr>
          <w:p w14:paraId="5F31ABEA" w14:textId="4CF6F9ED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32,9</w:t>
            </w:r>
          </w:p>
        </w:tc>
      </w:tr>
      <w:tr w:rsidR="00E15A78" w14:paraId="2FCB331C" w14:textId="77777777" w:rsidTr="4B0E2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1A4FB050" w14:textId="77777777" w:rsidR="00E15A78" w:rsidRDefault="6D235CB3" w:rsidP="4B0E2DF7">
            <w:pPr>
              <w:rPr>
                <w:sz w:val="22"/>
              </w:rPr>
            </w:pPr>
            <w:r w:rsidRPr="4B0E2DF7">
              <w:rPr>
                <w:sz w:val="22"/>
              </w:rPr>
              <w:t>EKİM</w:t>
            </w:r>
          </w:p>
        </w:tc>
        <w:tc>
          <w:tcPr>
            <w:tcW w:w="1000" w:type="dxa"/>
          </w:tcPr>
          <w:p w14:paraId="7E2BA4BB" w14:textId="39277C00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20,95</w:t>
            </w:r>
          </w:p>
        </w:tc>
        <w:tc>
          <w:tcPr>
            <w:tcW w:w="1050" w:type="dxa"/>
          </w:tcPr>
          <w:p w14:paraId="6B5B988F" w14:textId="5B72E883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21,35</w:t>
            </w:r>
          </w:p>
        </w:tc>
        <w:tc>
          <w:tcPr>
            <w:tcW w:w="1000" w:type="dxa"/>
          </w:tcPr>
          <w:p w14:paraId="33F8A541" w14:textId="4C337981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43,69</w:t>
            </w:r>
          </w:p>
        </w:tc>
        <w:tc>
          <w:tcPr>
            <w:tcW w:w="990" w:type="dxa"/>
          </w:tcPr>
          <w:p w14:paraId="64E87977" w14:textId="2B2EC724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15,5</w:t>
            </w:r>
          </w:p>
        </w:tc>
        <w:tc>
          <w:tcPr>
            <w:tcW w:w="999" w:type="dxa"/>
          </w:tcPr>
          <w:p w14:paraId="4588B5AD" w14:textId="41917884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13,75</w:t>
            </w:r>
          </w:p>
        </w:tc>
        <w:tc>
          <w:tcPr>
            <w:tcW w:w="993" w:type="dxa"/>
          </w:tcPr>
          <w:p w14:paraId="28AE99D2" w14:textId="5E1F0F8F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27,4</w:t>
            </w:r>
          </w:p>
        </w:tc>
        <w:tc>
          <w:tcPr>
            <w:tcW w:w="997" w:type="dxa"/>
          </w:tcPr>
          <w:p w14:paraId="4D4FDD50" w14:textId="45663418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7,06</w:t>
            </w:r>
          </w:p>
        </w:tc>
        <w:tc>
          <w:tcPr>
            <w:tcW w:w="997" w:type="dxa"/>
          </w:tcPr>
          <w:p w14:paraId="0BEA1F9B" w14:textId="35B382D3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16</w:t>
            </w:r>
          </w:p>
        </w:tc>
      </w:tr>
      <w:tr w:rsidR="00DE1F2A" w14:paraId="3BD8DF78" w14:textId="77777777" w:rsidTr="4B0E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21747CAF" w14:textId="77777777" w:rsidR="00E15A78" w:rsidRDefault="6D235CB3" w:rsidP="4B0E2DF7">
            <w:pPr>
              <w:rPr>
                <w:sz w:val="22"/>
              </w:rPr>
            </w:pPr>
            <w:r w:rsidRPr="4B0E2DF7">
              <w:rPr>
                <w:sz w:val="22"/>
              </w:rPr>
              <w:t>KASIM</w:t>
            </w:r>
          </w:p>
        </w:tc>
        <w:tc>
          <w:tcPr>
            <w:tcW w:w="1000" w:type="dxa"/>
          </w:tcPr>
          <w:p w14:paraId="0CE0124E" w14:textId="5DC606E0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59,59</w:t>
            </w:r>
          </w:p>
        </w:tc>
        <w:tc>
          <w:tcPr>
            <w:tcW w:w="1050" w:type="dxa"/>
          </w:tcPr>
          <w:p w14:paraId="0B2AEDD1" w14:textId="027866F7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87,9</w:t>
            </w:r>
          </w:p>
        </w:tc>
        <w:tc>
          <w:tcPr>
            <w:tcW w:w="1000" w:type="dxa"/>
          </w:tcPr>
          <w:p w14:paraId="08F2163D" w14:textId="568897CA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65,48</w:t>
            </w:r>
          </w:p>
        </w:tc>
        <w:tc>
          <w:tcPr>
            <w:tcW w:w="990" w:type="dxa"/>
          </w:tcPr>
          <w:p w14:paraId="4A4BD530" w14:textId="0E3715BB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43,03</w:t>
            </w:r>
          </w:p>
        </w:tc>
        <w:tc>
          <w:tcPr>
            <w:tcW w:w="999" w:type="dxa"/>
          </w:tcPr>
          <w:p w14:paraId="5A3E60A9" w14:textId="343CCF21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19,5</w:t>
            </w:r>
          </w:p>
        </w:tc>
        <w:tc>
          <w:tcPr>
            <w:tcW w:w="993" w:type="dxa"/>
          </w:tcPr>
          <w:p w14:paraId="260F2583" w14:textId="175312DF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108,1</w:t>
            </w:r>
          </w:p>
        </w:tc>
        <w:tc>
          <w:tcPr>
            <w:tcW w:w="997" w:type="dxa"/>
          </w:tcPr>
          <w:p w14:paraId="2E1EDE92" w14:textId="1D2C2ED3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27,2</w:t>
            </w:r>
          </w:p>
        </w:tc>
        <w:tc>
          <w:tcPr>
            <w:tcW w:w="997" w:type="dxa"/>
          </w:tcPr>
          <w:p w14:paraId="714D418E" w14:textId="4119B36E" w:rsidR="00E15A78" w:rsidRDefault="6D235CB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34,41</w:t>
            </w:r>
          </w:p>
        </w:tc>
      </w:tr>
      <w:tr w:rsidR="00E15A78" w14:paraId="7B196C87" w14:textId="77777777" w:rsidTr="4B0E2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0A01D43E" w14:textId="4D9027C5" w:rsidR="00E15A78" w:rsidRDefault="6D235CB3" w:rsidP="4B0E2DF7">
            <w:pPr>
              <w:rPr>
                <w:sz w:val="22"/>
              </w:rPr>
            </w:pPr>
            <w:r w:rsidRPr="4B0E2DF7">
              <w:rPr>
                <w:sz w:val="22"/>
              </w:rPr>
              <w:t>ARALIK</w:t>
            </w:r>
            <w:r w:rsidR="52C999F8" w:rsidRPr="4B0E2DF7">
              <w:rPr>
                <w:sz w:val="22"/>
              </w:rPr>
              <w:t>**</w:t>
            </w:r>
          </w:p>
        </w:tc>
        <w:tc>
          <w:tcPr>
            <w:tcW w:w="1000" w:type="dxa"/>
          </w:tcPr>
          <w:p w14:paraId="0337F33E" w14:textId="2F4BDBA8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63,11</w:t>
            </w:r>
          </w:p>
        </w:tc>
        <w:tc>
          <w:tcPr>
            <w:tcW w:w="1050" w:type="dxa"/>
          </w:tcPr>
          <w:p w14:paraId="147B4527" w14:textId="4AB1591A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56,18</w:t>
            </w:r>
          </w:p>
        </w:tc>
        <w:tc>
          <w:tcPr>
            <w:tcW w:w="1000" w:type="dxa"/>
          </w:tcPr>
          <w:p w14:paraId="5818A26A" w14:textId="524CABCB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48,38</w:t>
            </w:r>
          </w:p>
        </w:tc>
        <w:tc>
          <w:tcPr>
            <w:tcW w:w="990" w:type="dxa"/>
          </w:tcPr>
          <w:p w14:paraId="441BA4A9" w14:textId="069F1778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76,38</w:t>
            </w:r>
          </w:p>
        </w:tc>
        <w:tc>
          <w:tcPr>
            <w:tcW w:w="999" w:type="dxa"/>
          </w:tcPr>
          <w:p w14:paraId="7388AD4D" w14:textId="6D65678C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61,44</w:t>
            </w:r>
          </w:p>
        </w:tc>
        <w:tc>
          <w:tcPr>
            <w:tcW w:w="993" w:type="dxa"/>
          </w:tcPr>
          <w:p w14:paraId="5D6D4EDE" w14:textId="65B7F681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78,93</w:t>
            </w:r>
          </w:p>
        </w:tc>
        <w:tc>
          <w:tcPr>
            <w:tcW w:w="997" w:type="dxa"/>
          </w:tcPr>
          <w:p w14:paraId="45778A11" w14:textId="6795D94B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42,75</w:t>
            </w:r>
          </w:p>
        </w:tc>
        <w:tc>
          <w:tcPr>
            <w:tcW w:w="997" w:type="dxa"/>
          </w:tcPr>
          <w:p w14:paraId="15F88BD7" w14:textId="7435E597" w:rsidR="00E15A78" w:rsidRDefault="6D235CB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114,08</w:t>
            </w:r>
          </w:p>
        </w:tc>
      </w:tr>
    </w:tbl>
    <w:p w14:paraId="19656471" w14:textId="13185F4C" w:rsidR="002C57FF" w:rsidRPr="006754DF" w:rsidRDefault="002C57FF" w:rsidP="002C57FF">
      <w:pPr>
        <w:rPr>
          <w:i/>
        </w:rPr>
      </w:pPr>
      <w:r w:rsidRPr="006754DF">
        <w:rPr>
          <w:i/>
        </w:rPr>
        <w:t xml:space="preserve"> Eylül ayında PCR+ karantina süresi 14 gün iken diğer aylarda 10 güne düşürülmüştür.</w:t>
      </w:r>
      <w:r w:rsidR="00DE1F2A" w:rsidRPr="006754DF">
        <w:rPr>
          <w:i/>
        </w:rPr>
        <w:t xml:space="preserve"> ** Aralık ayında temaslı karantina süresi 14 gün</w:t>
      </w:r>
      <w:r w:rsidR="0042088F" w:rsidRPr="006754DF">
        <w:rPr>
          <w:i/>
        </w:rPr>
        <w:t>den</w:t>
      </w:r>
      <w:r w:rsidR="00DE1F2A" w:rsidRPr="006754DF">
        <w:rPr>
          <w:i/>
        </w:rPr>
        <w:t xml:space="preserve"> 10 güne düşürülmüştür.</w:t>
      </w:r>
    </w:p>
    <w:p w14:paraId="7724B59B" w14:textId="59DE82FC" w:rsidR="7710FEA9" w:rsidRPr="00434FBD" w:rsidRDefault="60D741BF" w:rsidP="47108F29">
      <w:pPr>
        <w:rPr>
          <w:sz w:val="24"/>
          <w:szCs w:val="24"/>
        </w:rPr>
      </w:pPr>
      <w:r w:rsidRPr="00434FBD">
        <w:rPr>
          <w:sz w:val="24"/>
          <w:szCs w:val="24"/>
        </w:rPr>
        <w:lastRenderedPageBreak/>
        <w:t xml:space="preserve">Elimizde bölgelere ait güncel günlük veriler </w:t>
      </w:r>
      <w:r w:rsidR="1A8CBD7B" w:rsidRPr="00434FBD">
        <w:rPr>
          <w:sz w:val="24"/>
          <w:szCs w:val="24"/>
        </w:rPr>
        <w:t xml:space="preserve">yoktur. Sağlık Bakanlığı ne yazık ki bu verileri de açıklamamaktadır. Bu nedenle nüfus hareketliliğin etkilerini </w:t>
      </w:r>
      <w:r w:rsidR="00DB5431" w:rsidRPr="00434FBD">
        <w:rPr>
          <w:sz w:val="24"/>
          <w:szCs w:val="24"/>
        </w:rPr>
        <w:t xml:space="preserve">ya da kimlerin salgından </w:t>
      </w:r>
      <w:r w:rsidR="00F55DB5" w:rsidRPr="00434FBD">
        <w:rPr>
          <w:sz w:val="24"/>
          <w:szCs w:val="24"/>
        </w:rPr>
        <w:t xml:space="preserve">daha fazla </w:t>
      </w:r>
      <w:r w:rsidR="00DB5431" w:rsidRPr="00434FBD">
        <w:rPr>
          <w:sz w:val="24"/>
          <w:szCs w:val="24"/>
        </w:rPr>
        <w:t xml:space="preserve">etkilendiğini </w:t>
      </w:r>
      <w:r w:rsidR="1A8CBD7B" w:rsidRPr="00434FBD">
        <w:rPr>
          <w:sz w:val="24"/>
          <w:szCs w:val="24"/>
        </w:rPr>
        <w:t xml:space="preserve">ancak dolaylı yollardan kestirmeye çalışıyoruz. Oysa salgın ortamında şeffaf bilgi talebimiz kısıtlama ve </w:t>
      </w:r>
      <w:r w:rsidR="08D0273D" w:rsidRPr="00434FBD">
        <w:rPr>
          <w:sz w:val="24"/>
          <w:szCs w:val="24"/>
        </w:rPr>
        <w:t xml:space="preserve">açılma kararlarını nasıl vereceğimizi belirleyecektir. Bu veriler olmadan kaygı ve bilinmezlik ile salınan bizler </w:t>
      </w:r>
      <w:r w:rsidR="7F449291" w:rsidRPr="00434FBD">
        <w:rPr>
          <w:sz w:val="24"/>
          <w:szCs w:val="24"/>
        </w:rPr>
        <w:t>ne hastalıktan korunabilmekte ne diğer sağlık sorunlarımızı çözebilmekte ne de sevdiklerimizin ölümünü</w:t>
      </w:r>
      <w:r w:rsidR="5C5DD151" w:rsidRPr="00434FBD">
        <w:rPr>
          <w:sz w:val="24"/>
          <w:szCs w:val="24"/>
        </w:rPr>
        <w:t xml:space="preserve"> acıyla</w:t>
      </w:r>
      <w:r w:rsidR="7F449291" w:rsidRPr="00434FBD">
        <w:rPr>
          <w:sz w:val="24"/>
          <w:szCs w:val="24"/>
        </w:rPr>
        <w:t xml:space="preserve"> izlemekten kurtula</w:t>
      </w:r>
      <w:r w:rsidR="00CB0409" w:rsidRPr="00434FBD">
        <w:rPr>
          <w:sz w:val="24"/>
          <w:szCs w:val="24"/>
        </w:rPr>
        <w:t>bilmekteyiz</w:t>
      </w:r>
      <w:r w:rsidR="7F449291" w:rsidRPr="00434FBD">
        <w:rPr>
          <w:sz w:val="24"/>
          <w:szCs w:val="24"/>
        </w:rPr>
        <w:t>.</w:t>
      </w:r>
    </w:p>
    <w:p w14:paraId="1A966E17" w14:textId="3ED01503" w:rsidR="00CB0409" w:rsidRPr="00434FBD" w:rsidRDefault="00CB0409" w:rsidP="00434FBD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00434FBD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Vaka Sayısı Arttıkça </w:t>
      </w:r>
      <w:proofErr w:type="spellStart"/>
      <w:r w:rsidRPr="00434FBD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Filyasyon</w:t>
      </w:r>
      <w:proofErr w:type="spellEnd"/>
      <w:r w:rsidRPr="00434FBD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 Ekipleri Hastalara Yetişemiyor</w:t>
      </w:r>
    </w:p>
    <w:p w14:paraId="543343B3" w14:textId="3C19C3D0" w:rsidR="002C57FF" w:rsidRPr="00434FBD" w:rsidRDefault="0BF4E8EA" w:rsidP="47108F29">
      <w:pPr>
        <w:rPr>
          <w:sz w:val="24"/>
          <w:szCs w:val="24"/>
        </w:rPr>
      </w:pPr>
      <w:r w:rsidRPr="4B0E2DF7">
        <w:rPr>
          <w:sz w:val="24"/>
          <w:szCs w:val="24"/>
        </w:rPr>
        <w:t xml:space="preserve">4 çalışmanın illere göre verilerini toplu olarak incelediğimizde vaka sayısı arttıkça </w:t>
      </w:r>
      <w:proofErr w:type="spellStart"/>
      <w:r w:rsidRPr="4B0E2DF7">
        <w:rPr>
          <w:sz w:val="24"/>
          <w:szCs w:val="24"/>
        </w:rPr>
        <w:t>filyasyon</w:t>
      </w:r>
      <w:proofErr w:type="spellEnd"/>
      <w:r w:rsidRPr="4B0E2DF7">
        <w:rPr>
          <w:sz w:val="24"/>
          <w:szCs w:val="24"/>
        </w:rPr>
        <w:t xml:space="preserve"> ekiplerinin hastalara yetişemediği ve temaslı kişi/PCR+ kişi oranının düştüğü görülmektedir. Artan iş yükü ile doğal olarak karşımıza çıkan bu tablo salgın yönetiminde </w:t>
      </w:r>
      <w:r w:rsidR="6412F1AD" w:rsidRPr="4B0E2DF7">
        <w:rPr>
          <w:sz w:val="24"/>
          <w:szCs w:val="24"/>
        </w:rPr>
        <w:t>temel basamak olan temaslı takibi ve yayılım yavaşlatılmasını güçleştirmektedir.</w:t>
      </w:r>
    </w:p>
    <w:p w14:paraId="0F27E6F0" w14:textId="742E43A5" w:rsidR="701AA3FA" w:rsidRDefault="701AA3FA" w:rsidP="4B0E2DF7">
      <w:pPr>
        <w:rPr>
          <w:b/>
          <w:bCs/>
        </w:rPr>
      </w:pPr>
      <w:r w:rsidRPr="4B0E2DF7">
        <w:rPr>
          <w:b/>
          <w:bCs/>
        </w:rPr>
        <w:t xml:space="preserve">Aile Hekimi Başına PCR+ Vaka Ortalamalarının Artış Gösterdiği </w:t>
      </w:r>
      <w:r w:rsidR="4039372B" w:rsidRPr="4B0E2DF7">
        <w:rPr>
          <w:b/>
          <w:bCs/>
        </w:rPr>
        <w:t xml:space="preserve">Diğer </w:t>
      </w:r>
      <w:r w:rsidRPr="4B0E2DF7">
        <w:rPr>
          <w:b/>
          <w:bCs/>
        </w:rPr>
        <w:t>İller</w:t>
      </w:r>
    </w:p>
    <w:tbl>
      <w:tblPr>
        <w:tblStyle w:val="DzTablo51"/>
        <w:tblW w:w="0" w:type="auto"/>
        <w:tblLook w:val="04A0" w:firstRow="1" w:lastRow="0" w:firstColumn="1" w:lastColumn="0" w:noHBand="0" w:noVBand="1"/>
      </w:tblPr>
      <w:tblGrid>
        <w:gridCol w:w="1000"/>
        <w:gridCol w:w="1000"/>
        <w:gridCol w:w="1050"/>
        <w:gridCol w:w="1000"/>
        <w:gridCol w:w="990"/>
        <w:gridCol w:w="999"/>
        <w:gridCol w:w="999"/>
        <w:gridCol w:w="993"/>
        <w:gridCol w:w="997"/>
      </w:tblGrid>
      <w:tr w:rsidR="00123323" w14:paraId="73BE55B4" w14:textId="77777777" w:rsidTr="005B4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dxa"/>
          </w:tcPr>
          <w:p w14:paraId="740EFD8F" w14:textId="77777777" w:rsidR="00123323" w:rsidRDefault="00123323" w:rsidP="4B0E2DF7">
            <w:pPr>
              <w:rPr>
                <w:sz w:val="22"/>
              </w:rPr>
            </w:pPr>
          </w:p>
        </w:tc>
        <w:tc>
          <w:tcPr>
            <w:tcW w:w="1000" w:type="dxa"/>
          </w:tcPr>
          <w:p w14:paraId="5A690416" w14:textId="44486508" w:rsidR="00123323" w:rsidRDefault="00123323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rPr>
                <w:sz w:val="22"/>
              </w:rPr>
              <w:t xml:space="preserve">Türkiye </w:t>
            </w:r>
          </w:p>
        </w:tc>
        <w:tc>
          <w:tcPr>
            <w:tcW w:w="1050" w:type="dxa"/>
          </w:tcPr>
          <w:p w14:paraId="01999643" w14:textId="796C976A" w:rsidR="00123323" w:rsidRDefault="00123323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rPr>
                <w:sz w:val="22"/>
              </w:rPr>
              <w:t>Aydın</w:t>
            </w:r>
          </w:p>
        </w:tc>
        <w:tc>
          <w:tcPr>
            <w:tcW w:w="1000" w:type="dxa"/>
          </w:tcPr>
          <w:p w14:paraId="538D96B3" w14:textId="151C1FF5" w:rsidR="00123323" w:rsidRDefault="00123323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rPr>
                <w:sz w:val="22"/>
              </w:rPr>
              <w:t>Antalya</w:t>
            </w:r>
          </w:p>
        </w:tc>
        <w:tc>
          <w:tcPr>
            <w:tcW w:w="990" w:type="dxa"/>
          </w:tcPr>
          <w:p w14:paraId="033BA0A6" w14:textId="7B1B46D6" w:rsidR="00123323" w:rsidRDefault="00123323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rPr>
                <w:sz w:val="22"/>
              </w:rPr>
              <w:t>Artvin</w:t>
            </w:r>
          </w:p>
        </w:tc>
        <w:tc>
          <w:tcPr>
            <w:tcW w:w="999" w:type="dxa"/>
          </w:tcPr>
          <w:p w14:paraId="43FCF62D" w14:textId="1F0051DC" w:rsidR="00123323" w:rsidRPr="4B0E2DF7" w:rsidRDefault="00123323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Hatay</w:t>
            </w:r>
          </w:p>
        </w:tc>
        <w:tc>
          <w:tcPr>
            <w:tcW w:w="999" w:type="dxa"/>
          </w:tcPr>
          <w:p w14:paraId="4151FE4E" w14:textId="54A11DB1" w:rsidR="00123323" w:rsidRDefault="00123323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rPr>
                <w:sz w:val="22"/>
              </w:rPr>
              <w:t>Kocaeli</w:t>
            </w:r>
          </w:p>
        </w:tc>
        <w:tc>
          <w:tcPr>
            <w:tcW w:w="993" w:type="dxa"/>
          </w:tcPr>
          <w:p w14:paraId="38E3C37E" w14:textId="7C973038" w:rsidR="00123323" w:rsidRDefault="00123323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rPr>
                <w:sz w:val="22"/>
              </w:rPr>
              <w:t>Samsun</w:t>
            </w:r>
          </w:p>
        </w:tc>
        <w:tc>
          <w:tcPr>
            <w:tcW w:w="997" w:type="dxa"/>
          </w:tcPr>
          <w:p w14:paraId="0F3EB200" w14:textId="708A6BFB" w:rsidR="00123323" w:rsidRDefault="00123323" w:rsidP="4B0E2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rPr>
                <w:sz w:val="22"/>
              </w:rPr>
              <w:t>Sakarya</w:t>
            </w:r>
          </w:p>
        </w:tc>
      </w:tr>
      <w:tr w:rsidR="00123323" w14:paraId="748EC193" w14:textId="77777777" w:rsidTr="005B4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1D188943" w14:textId="033AC38A" w:rsidR="00123323" w:rsidRDefault="00123323" w:rsidP="4B0E2DF7">
            <w:pPr>
              <w:rPr>
                <w:sz w:val="22"/>
              </w:rPr>
            </w:pPr>
            <w:r w:rsidRPr="4B0E2DF7">
              <w:rPr>
                <w:sz w:val="22"/>
              </w:rPr>
              <w:t>KASIM</w:t>
            </w:r>
          </w:p>
        </w:tc>
        <w:tc>
          <w:tcPr>
            <w:tcW w:w="1000" w:type="dxa"/>
          </w:tcPr>
          <w:p w14:paraId="05710316" w14:textId="006C365D" w:rsidR="00123323" w:rsidRDefault="0012332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19,79</w:t>
            </w:r>
          </w:p>
        </w:tc>
        <w:tc>
          <w:tcPr>
            <w:tcW w:w="1050" w:type="dxa"/>
          </w:tcPr>
          <w:p w14:paraId="296A0CA9" w14:textId="5487A737" w:rsidR="00123323" w:rsidRDefault="0012332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11</w:t>
            </w:r>
          </w:p>
        </w:tc>
        <w:tc>
          <w:tcPr>
            <w:tcW w:w="1000" w:type="dxa"/>
          </w:tcPr>
          <w:p w14:paraId="31937C41" w14:textId="38DB09D1" w:rsidR="00123323" w:rsidRDefault="0012332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6,3</w:t>
            </w:r>
          </w:p>
        </w:tc>
        <w:tc>
          <w:tcPr>
            <w:tcW w:w="990" w:type="dxa"/>
          </w:tcPr>
          <w:p w14:paraId="475A4A35" w14:textId="726619D2" w:rsidR="00123323" w:rsidRDefault="0012332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8,1</w:t>
            </w:r>
          </w:p>
        </w:tc>
        <w:tc>
          <w:tcPr>
            <w:tcW w:w="999" w:type="dxa"/>
          </w:tcPr>
          <w:p w14:paraId="093F271E" w14:textId="071DD2FF" w:rsidR="00123323" w:rsidRPr="4B0E2DF7" w:rsidRDefault="0012332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6,11</w:t>
            </w:r>
          </w:p>
        </w:tc>
        <w:tc>
          <w:tcPr>
            <w:tcW w:w="999" w:type="dxa"/>
          </w:tcPr>
          <w:p w14:paraId="7E0D20B3" w14:textId="5A7D053F" w:rsidR="00123323" w:rsidRDefault="0012332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28,3</w:t>
            </w:r>
          </w:p>
        </w:tc>
        <w:tc>
          <w:tcPr>
            <w:tcW w:w="993" w:type="dxa"/>
          </w:tcPr>
          <w:p w14:paraId="1BAEDC62" w14:textId="27D5593D" w:rsidR="00123323" w:rsidRDefault="0012332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14,08</w:t>
            </w:r>
          </w:p>
        </w:tc>
        <w:tc>
          <w:tcPr>
            <w:tcW w:w="997" w:type="dxa"/>
          </w:tcPr>
          <w:p w14:paraId="7FFA98AC" w14:textId="4DD2B8DB" w:rsidR="00123323" w:rsidRDefault="00123323" w:rsidP="4B0E2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t>24,9</w:t>
            </w:r>
          </w:p>
        </w:tc>
      </w:tr>
      <w:tr w:rsidR="00123323" w14:paraId="7090E2ED" w14:textId="77777777" w:rsidTr="005B4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6ABFA679" w14:textId="678B739B" w:rsidR="00123323" w:rsidRDefault="00123323" w:rsidP="4B0E2DF7">
            <w:pPr>
              <w:rPr>
                <w:sz w:val="22"/>
              </w:rPr>
            </w:pPr>
            <w:r w:rsidRPr="4B0E2DF7">
              <w:rPr>
                <w:sz w:val="22"/>
              </w:rPr>
              <w:t>ARALIK</w:t>
            </w:r>
          </w:p>
        </w:tc>
        <w:tc>
          <w:tcPr>
            <w:tcW w:w="1000" w:type="dxa"/>
          </w:tcPr>
          <w:p w14:paraId="3D4D9527" w14:textId="6BDEF8E4" w:rsidR="00123323" w:rsidRDefault="0012332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22,55</w:t>
            </w:r>
          </w:p>
        </w:tc>
        <w:tc>
          <w:tcPr>
            <w:tcW w:w="1050" w:type="dxa"/>
          </w:tcPr>
          <w:p w14:paraId="6EF7A002" w14:textId="4167CD83" w:rsidR="00123323" w:rsidRDefault="0012332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32,14</w:t>
            </w:r>
          </w:p>
        </w:tc>
        <w:tc>
          <w:tcPr>
            <w:tcW w:w="1000" w:type="dxa"/>
          </w:tcPr>
          <w:p w14:paraId="1D8BDC13" w14:textId="28F8D1BC" w:rsidR="00123323" w:rsidRDefault="0012332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14,34</w:t>
            </w:r>
          </w:p>
        </w:tc>
        <w:tc>
          <w:tcPr>
            <w:tcW w:w="990" w:type="dxa"/>
          </w:tcPr>
          <w:p w14:paraId="2C048604" w14:textId="685B4C22" w:rsidR="00123323" w:rsidRDefault="0012332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20,52</w:t>
            </w:r>
          </w:p>
        </w:tc>
        <w:tc>
          <w:tcPr>
            <w:tcW w:w="999" w:type="dxa"/>
          </w:tcPr>
          <w:p w14:paraId="7B6E834A" w14:textId="59B55542" w:rsidR="00123323" w:rsidRPr="4B0E2DF7" w:rsidRDefault="0012332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29,27</w:t>
            </w:r>
          </w:p>
        </w:tc>
        <w:tc>
          <w:tcPr>
            <w:tcW w:w="999" w:type="dxa"/>
          </w:tcPr>
          <w:p w14:paraId="1BFD904E" w14:textId="56CC6C95" w:rsidR="00123323" w:rsidRDefault="0012332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35,98</w:t>
            </w:r>
          </w:p>
        </w:tc>
        <w:tc>
          <w:tcPr>
            <w:tcW w:w="993" w:type="dxa"/>
          </w:tcPr>
          <w:p w14:paraId="4975021F" w14:textId="0A0B34C8" w:rsidR="00123323" w:rsidRDefault="0012332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36,36</w:t>
            </w:r>
          </w:p>
        </w:tc>
        <w:tc>
          <w:tcPr>
            <w:tcW w:w="997" w:type="dxa"/>
          </w:tcPr>
          <w:p w14:paraId="43A6D6DB" w14:textId="753A79BD" w:rsidR="00123323" w:rsidRDefault="00123323" w:rsidP="4B0E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t>33,42</w:t>
            </w:r>
          </w:p>
        </w:tc>
      </w:tr>
    </w:tbl>
    <w:p w14:paraId="3D68E7FA" w14:textId="1132DB87" w:rsidR="701AA3FA" w:rsidRDefault="701AA3FA" w:rsidP="4B0E2DF7">
      <w:pPr>
        <w:rPr>
          <w:i/>
          <w:iCs/>
        </w:rPr>
      </w:pPr>
      <w:r w:rsidRPr="4B0E2DF7">
        <w:rPr>
          <w:i/>
          <w:iCs/>
        </w:rPr>
        <w:t xml:space="preserve"> Eylül ayında PCR+ karantina süresi 14 gün iken diğer aylarda 10 güne düşürülmüştür.</w:t>
      </w:r>
    </w:p>
    <w:p w14:paraId="0CE853B1" w14:textId="1500E7D8" w:rsidR="1262EC46" w:rsidRPr="00434FBD" w:rsidRDefault="0007029B" w:rsidP="00434FBD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Ek Ödemelerde sorunlar devam ediyor</w:t>
      </w:r>
    </w:p>
    <w:p w14:paraId="5D49958A" w14:textId="200ABA78" w:rsidR="00EA6AA9" w:rsidRPr="00434FBD" w:rsidRDefault="1262EC46" w:rsidP="47108F29">
      <w:pPr>
        <w:rPr>
          <w:sz w:val="24"/>
          <w:szCs w:val="24"/>
        </w:rPr>
      </w:pPr>
      <w:r w:rsidRPr="00434FBD">
        <w:rPr>
          <w:sz w:val="24"/>
          <w:szCs w:val="24"/>
        </w:rPr>
        <w:t xml:space="preserve">Sağlık Bakanı Aile Hekimlerine ek ödeme verileceğini söyleyerek bizi yine toplumun önünde </w:t>
      </w:r>
      <w:r w:rsidR="00270834" w:rsidRPr="00434FBD">
        <w:rPr>
          <w:sz w:val="24"/>
          <w:szCs w:val="24"/>
        </w:rPr>
        <w:t>ödeme</w:t>
      </w:r>
      <w:r w:rsidRPr="00434FBD">
        <w:rPr>
          <w:sz w:val="24"/>
          <w:szCs w:val="24"/>
        </w:rPr>
        <w:t xml:space="preserve"> konuşur duruma itmiştir. </w:t>
      </w:r>
      <w:r w:rsidR="00EA6AA9" w:rsidRPr="00434FBD">
        <w:rPr>
          <w:sz w:val="24"/>
          <w:szCs w:val="24"/>
        </w:rPr>
        <w:t xml:space="preserve">Sağlık çalışanları </w:t>
      </w:r>
      <w:r w:rsidRPr="00434FBD">
        <w:rPr>
          <w:sz w:val="24"/>
          <w:szCs w:val="24"/>
        </w:rPr>
        <w:t>salgın</w:t>
      </w:r>
      <w:r w:rsidR="00EA6AA9" w:rsidRPr="00434FBD">
        <w:rPr>
          <w:sz w:val="24"/>
          <w:szCs w:val="24"/>
        </w:rPr>
        <w:t>ın başından bu yana bakanlıktan koruyucu malzeme talebinde bulunmaktadır</w:t>
      </w:r>
      <w:r w:rsidR="00434FBD">
        <w:rPr>
          <w:sz w:val="24"/>
          <w:szCs w:val="24"/>
        </w:rPr>
        <w:t xml:space="preserve">. </w:t>
      </w:r>
    </w:p>
    <w:p w14:paraId="35DEB63A" w14:textId="1B1FA323" w:rsidR="1262EC46" w:rsidRPr="00434FBD" w:rsidRDefault="526CAEB7" w:rsidP="47108F29">
      <w:pPr>
        <w:rPr>
          <w:sz w:val="24"/>
          <w:szCs w:val="24"/>
        </w:rPr>
      </w:pPr>
      <w:r w:rsidRPr="00434FBD">
        <w:rPr>
          <w:sz w:val="24"/>
          <w:szCs w:val="24"/>
        </w:rPr>
        <w:t xml:space="preserve">Ağustos ayında ödeneceği söylenen ek ödemeler </w:t>
      </w:r>
      <w:r w:rsidR="00EA6AA9" w:rsidRPr="00434FBD">
        <w:rPr>
          <w:sz w:val="24"/>
          <w:szCs w:val="24"/>
        </w:rPr>
        <w:t xml:space="preserve">ise </w:t>
      </w:r>
      <w:r w:rsidRPr="00434FBD">
        <w:rPr>
          <w:sz w:val="24"/>
          <w:szCs w:val="24"/>
        </w:rPr>
        <w:t>Aralık ayı</w:t>
      </w:r>
      <w:r w:rsidR="00EA6AA9" w:rsidRPr="00434FBD">
        <w:rPr>
          <w:sz w:val="24"/>
          <w:szCs w:val="24"/>
        </w:rPr>
        <w:t>nda halen</w:t>
      </w:r>
      <w:r w:rsidRPr="00434FBD">
        <w:rPr>
          <w:sz w:val="24"/>
          <w:szCs w:val="24"/>
        </w:rPr>
        <w:t xml:space="preserve"> tam olarak yapılmamıştır. </w:t>
      </w:r>
      <w:r w:rsidR="00EA6AA9" w:rsidRPr="00434FBD">
        <w:rPr>
          <w:sz w:val="24"/>
          <w:szCs w:val="24"/>
        </w:rPr>
        <w:t>Hasta</w:t>
      </w:r>
      <w:r w:rsidRPr="00434FBD">
        <w:rPr>
          <w:sz w:val="24"/>
          <w:szCs w:val="24"/>
        </w:rPr>
        <w:t xml:space="preserve"> aramaları</w:t>
      </w:r>
      <w:r w:rsidR="00EA6AA9" w:rsidRPr="00434FBD">
        <w:rPr>
          <w:sz w:val="24"/>
          <w:szCs w:val="24"/>
        </w:rPr>
        <w:t>nı</w:t>
      </w:r>
      <w:r w:rsidRPr="00434FBD">
        <w:rPr>
          <w:sz w:val="24"/>
          <w:szCs w:val="24"/>
        </w:rPr>
        <w:t xml:space="preserve"> yapan aile hekimleri</w:t>
      </w:r>
      <w:r w:rsidR="00434FBD">
        <w:rPr>
          <w:sz w:val="24"/>
          <w:szCs w:val="24"/>
        </w:rPr>
        <w:t xml:space="preserve">nin bir kısmı </w:t>
      </w:r>
      <w:r w:rsidR="00F95B02">
        <w:rPr>
          <w:sz w:val="24"/>
          <w:szCs w:val="24"/>
        </w:rPr>
        <w:t xml:space="preserve">hala </w:t>
      </w:r>
      <w:r w:rsidR="00F95B02" w:rsidRPr="00434FBD">
        <w:rPr>
          <w:sz w:val="24"/>
          <w:szCs w:val="24"/>
        </w:rPr>
        <w:t>ek</w:t>
      </w:r>
      <w:r w:rsidRPr="00434FBD">
        <w:rPr>
          <w:sz w:val="24"/>
          <w:szCs w:val="24"/>
        </w:rPr>
        <w:t xml:space="preserve"> ödeme alamamıştır</w:t>
      </w:r>
      <w:r w:rsidR="16134D0D" w:rsidRPr="00434FBD">
        <w:rPr>
          <w:sz w:val="24"/>
          <w:szCs w:val="24"/>
        </w:rPr>
        <w:t>. Aile hekimlerinin %59’u takip ettikleri hasta oranında ek ödeme al</w:t>
      </w:r>
      <w:r w:rsidR="00EA6AA9" w:rsidRPr="00434FBD">
        <w:rPr>
          <w:sz w:val="24"/>
          <w:szCs w:val="24"/>
        </w:rPr>
        <w:t>mışken,</w:t>
      </w:r>
      <w:r w:rsidR="16134D0D" w:rsidRPr="00434FBD">
        <w:rPr>
          <w:sz w:val="24"/>
          <w:szCs w:val="24"/>
        </w:rPr>
        <w:t xml:space="preserve"> %25’i ise hiç ek ödeme almamıştır. Oysa izlemleri tam yaptım diyen oranı </w:t>
      </w:r>
      <w:r w:rsidR="56F16617" w:rsidRPr="00434FBD">
        <w:rPr>
          <w:sz w:val="24"/>
          <w:szCs w:val="24"/>
        </w:rPr>
        <w:t xml:space="preserve">%70ler civarında seyretmiştir. Aile hekimliği salgın yönetiminin </w:t>
      </w:r>
      <w:r w:rsidR="00F95B02">
        <w:rPr>
          <w:sz w:val="24"/>
          <w:szCs w:val="24"/>
        </w:rPr>
        <w:t xml:space="preserve">ilgi alanının </w:t>
      </w:r>
      <w:r w:rsidR="56F16617" w:rsidRPr="00434FBD">
        <w:rPr>
          <w:sz w:val="24"/>
          <w:szCs w:val="24"/>
        </w:rPr>
        <w:t>dışında kalmış, tüm</w:t>
      </w:r>
      <w:r w:rsidR="65F7C6B8" w:rsidRPr="00434FBD">
        <w:rPr>
          <w:sz w:val="24"/>
          <w:szCs w:val="24"/>
        </w:rPr>
        <w:t xml:space="preserve"> </w:t>
      </w:r>
      <w:r w:rsidR="56F16617" w:rsidRPr="00434FBD">
        <w:rPr>
          <w:sz w:val="24"/>
          <w:szCs w:val="24"/>
        </w:rPr>
        <w:t>koruyucu tedbirleri kendi başına almak zorunda kalmıştır. Bunun sonucu da</w:t>
      </w:r>
      <w:r w:rsidR="1F5D35CF" w:rsidRPr="00434FBD">
        <w:rPr>
          <w:sz w:val="24"/>
          <w:szCs w:val="24"/>
        </w:rPr>
        <w:t xml:space="preserve"> Aile Sağlığı Merkezlerinin %68’inde </w:t>
      </w:r>
      <w:r w:rsidR="00F95B02">
        <w:rPr>
          <w:sz w:val="24"/>
          <w:szCs w:val="24"/>
        </w:rPr>
        <w:t>en az bir kişi COVD19’a yakalanmıştır.</w:t>
      </w:r>
    </w:p>
    <w:p w14:paraId="21803B72" w14:textId="56AB2EF5" w:rsidR="528AC1EC" w:rsidRPr="00434FBD" w:rsidRDefault="528AC1EC" w:rsidP="00434FBD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00434FBD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Aile Sağlığı Merkezlerinin %68’inde COVID19 Görüldü.</w:t>
      </w:r>
    </w:p>
    <w:p w14:paraId="61C5BF68" w14:textId="33500690" w:rsidR="00FC4BA6" w:rsidRPr="00F95B02" w:rsidRDefault="7900C99E" w:rsidP="47108F29">
      <w:pPr>
        <w:rPr>
          <w:sz w:val="24"/>
          <w:szCs w:val="24"/>
        </w:rPr>
      </w:pPr>
      <w:r w:rsidRPr="4B0E2DF7">
        <w:rPr>
          <w:sz w:val="24"/>
          <w:szCs w:val="24"/>
        </w:rPr>
        <w:t>“</w:t>
      </w:r>
      <w:r w:rsidRPr="4B0E2DF7">
        <w:rPr>
          <w:i/>
          <w:iCs/>
          <w:sz w:val="24"/>
          <w:szCs w:val="24"/>
        </w:rPr>
        <w:t xml:space="preserve">Sürekli mesai denetlemeleri ile </w:t>
      </w:r>
      <w:proofErr w:type="gramStart"/>
      <w:r w:rsidRPr="4B0E2DF7">
        <w:rPr>
          <w:i/>
          <w:iCs/>
          <w:sz w:val="24"/>
          <w:szCs w:val="24"/>
        </w:rPr>
        <w:t>motivasyonumuz</w:t>
      </w:r>
      <w:proofErr w:type="gramEnd"/>
      <w:r w:rsidRPr="4B0E2DF7">
        <w:rPr>
          <w:i/>
          <w:iCs/>
          <w:sz w:val="24"/>
          <w:szCs w:val="24"/>
        </w:rPr>
        <w:t xml:space="preserve"> düşürülüyor. Her zamankinden daha yalnızız</w:t>
      </w:r>
      <w:r w:rsidRPr="4B0E2DF7">
        <w:rPr>
          <w:sz w:val="24"/>
          <w:szCs w:val="24"/>
        </w:rPr>
        <w:t xml:space="preserve">...” </w:t>
      </w:r>
    </w:p>
    <w:p w14:paraId="67CCFCA3" w14:textId="77777777" w:rsidR="00FC4BA6" w:rsidRPr="00F95B02" w:rsidRDefault="00FC4BA6" w:rsidP="47108F29">
      <w:pPr>
        <w:rPr>
          <w:sz w:val="24"/>
          <w:szCs w:val="24"/>
        </w:rPr>
      </w:pPr>
      <w:r w:rsidRPr="00F95B02">
        <w:rPr>
          <w:sz w:val="24"/>
          <w:szCs w:val="24"/>
        </w:rPr>
        <w:t xml:space="preserve">“Müdürlükten ve bakanlıktan hastaları arayıp aile hekimleri hakkında sorgulama yapıyorlar.” </w:t>
      </w:r>
    </w:p>
    <w:p w14:paraId="33170181" w14:textId="201885AD" w:rsidR="00275090" w:rsidRPr="00F95B02" w:rsidRDefault="00275090" w:rsidP="47108F29">
      <w:pPr>
        <w:rPr>
          <w:sz w:val="24"/>
          <w:szCs w:val="24"/>
        </w:rPr>
      </w:pPr>
      <w:r w:rsidRPr="00F95B02">
        <w:rPr>
          <w:sz w:val="24"/>
          <w:szCs w:val="24"/>
        </w:rPr>
        <w:t>Bizler hastalanırken Sağlık Müdürlükleri mesai denetimleri ile sanki Aralık 2019’da yaşamaya devam ediyor.</w:t>
      </w:r>
      <w:r w:rsidR="003E071D" w:rsidRPr="00F95B02">
        <w:rPr>
          <w:sz w:val="24"/>
          <w:szCs w:val="24"/>
        </w:rPr>
        <w:t xml:space="preserve"> Anlamsız denetimler devam ederken koruyucu </w:t>
      </w:r>
      <w:proofErr w:type="gramStart"/>
      <w:r w:rsidR="003E071D" w:rsidRPr="00F95B02">
        <w:rPr>
          <w:sz w:val="24"/>
          <w:szCs w:val="24"/>
        </w:rPr>
        <w:t>ekipman</w:t>
      </w:r>
      <w:proofErr w:type="gramEnd"/>
      <w:r w:rsidR="003E071D" w:rsidRPr="00F95B02">
        <w:rPr>
          <w:sz w:val="24"/>
          <w:szCs w:val="24"/>
        </w:rPr>
        <w:t xml:space="preserve"> halen gönderilmiyor</w:t>
      </w:r>
      <w:r w:rsidR="00CA0EBA" w:rsidRPr="00F95B02">
        <w:rPr>
          <w:sz w:val="24"/>
          <w:szCs w:val="24"/>
        </w:rPr>
        <w:t>.</w:t>
      </w:r>
    </w:p>
    <w:p w14:paraId="7224CE06" w14:textId="0E3848AC" w:rsidR="528AC1EC" w:rsidRDefault="007010F6" w:rsidP="47108F29">
      <w:r w:rsidRPr="00F95B02">
        <w:rPr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49C1ECFA" wp14:editId="5C5C9A53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4213860" cy="2415540"/>
            <wp:effectExtent l="0" t="0" r="15240" b="3810"/>
            <wp:wrapSquare wrapText="bothSides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8EDD1A1E-A7DF-4A73-A687-EBC7A09619C7}"/>
                </a:ext>
                <a:ext uri="{147F2762-F138-4A5C-976F-8EAC2B608ADB}">
                  <a16:predDERef xmlns:a16="http://schemas.microsoft.com/office/drawing/2014/main" pred="{448DFA02-083C-4A94-A1E5-DD658DD4D8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28AC1EC" w:rsidRPr="00F95B02">
        <w:rPr>
          <w:sz w:val="24"/>
          <w:szCs w:val="24"/>
        </w:rPr>
        <w:t xml:space="preserve">Eylül ve Ekim aylarında %41 olan oran Kasım ayında %49’a ve Aralık ayında </w:t>
      </w:r>
      <w:r w:rsidR="2DAB3ED1" w:rsidRPr="00F95B02">
        <w:rPr>
          <w:sz w:val="24"/>
          <w:szCs w:val="24"/>
        </w:rPr>
        <w:t>ise %68’e çıkmıştır. Geciken tedbirler binlerce aile hekimliği çalışanın hastalanmasına neden olmuştur.</w:t>
      </w:r>
      <w:r w:rsidR="36B9D1B8" w:rsidRPr="00F95B02">
        <w:rPr>
          <w:sz w:val="24"/>
          <w:szCs w:val="24"/>
        </w:rPr>
        <w:t xml:space="preserve"> Aşı ile korunabilme olasılığı bu kadar yakınken binlerce sağlık çalışanının hastalanmış olması ve COVID</w:t>
      </w:r>
      <w:r w:rsidR="2AF50934" w:rsidRPr="00F95B02">
        <w:rPr>
          <w:sz w:val="24"/>
          <w:szCs w:val="24"/>
        </w:rPr>
        <w:t xml:space="preserve">19’un halen meslek hastalığı sayılmaması kabul edilebilir değildir. </w:t>
      </w:r>
    </w:p>
    <w:p w14:paraId="5BE62EB7" w14:textId="1CE76373" w:rsidR="00F95B02" w:rsidRDefault="3F23BDFD" w:rsidP="00F95B02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Kanser Taramaları</w:t>
      </w:r>
      <w:r w:rsidR="65EFB2A1"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 %88 </w:t>
      </w:r>
      <w:proofErr w:type="gramStart"/>
      <w:r w:rsidR="65EFB2A1"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Azaldı</w:t>
      </w:r>
      <w:proofErr w:type="gramEnd"/>
      <w:r w:rsidRPr="4B0E2DF7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…</w:t>
      </w:r>
    </w:p>
    <w:p w14:paraId="661DDFF4" w14:textId="546F2B36" w:rsidR="54B12982" w:rsidRPr="00F95B02" w:rsidRDefault="54B12982" w:rsidP="47108F29">
      <w:pPr>
        <w:rPr>
          <w:sz w:val="24"/>
          <w:szCs w:val="24"/>
        </w:rPr>
      </w:pPr>
      <w:r w:rsidRPr="00F95B02">
        <w:rPr>
          <w:sz w:val="24"/>
          <w:szCs w:val="24"/>
        </w:rPr>
        <w:t xml:space="preserve">Çalışmamızda aile hekimlerine </w:t>
      </w:r>
      <w:proofErr w:type="spellStart"/>
      <w:r w:rsidRPr="00F95B02">
        <w:rPr>
          <w:sz w:val="24"/>
          <w:szCs w:val="24"/>
        </w:rPr>
        <w:t>pandemi</w:t>
      </w:r>
      <w:proofErr w:type="spellEnd"/>
      <w:r w:rsidRPr="00F95B02">
        <w:rPr>
          <w:sz w:val="24"/>
          <w:szCs w:val="24"/>
        </w:rPr>
        <w:t xml:space="preserve"> döneminde kanser taramaları ve erken tespit edilen kanser vakalarındaki değişim sorulmuştur. Ne yazık ki</w:t>
      </w:r>
      <w:r w:rsidR="607D2264" w:rsidRPr="00F95B02">
        <w:rPr>
          <w:sz w:val="24"/>
          <w:szCs w:val="24"/>
        </w:rPr>
        <w:t xml:space="preserve"> katılımcıların %88’i kanser tarama sayılarının azaldığını belirtmiştir, değişmedi diyen hekim oranı ise %11</w:t>
      </w:r>
      <w:r w:rsidR="46362B61" w:rsidRPr="00F95B02">
        <w:rPr>
          <w:sz w:val="24"/>
          <w:szCs w:val="24"/>
        </w:rPr>
        <w:t>’dir. Ankete yanıt veren 1520 hekimden sadece 7 (yazı ile yedi) kişi kanser taramaları arttı yanıtını vermiştir</w:t>
      </w:r>
      <w:r w:rsidR="607D2264" w:rsidRPr="00F95B02">
        <w:rPr>
          <w:sz w:val="24"/>
          <w:szCs w:val="24"/>
        </w:rPr>
        <w:t>. Sağlık Bakanlığı 2021 bütçe</w:t>
      </w:r>
      <w:r w:rsidR="6FF24BAF" w:rsidRPr="00F95B02">
        <w:rPr>
          <w:sz w:val="24"/>
          <w:szCs w:val="24"/>
        </w:rPr>
        <w:t xml:space="preserve"> sunumunda öğrenebildiğimiz kadarı ile 2019 yılında 9 milyon kişinin kanser taraması yapılmışken bu sayı 2020 yılında 3 milyona düşmüştür. Bunların içinde başta aile sağlığı </w:t>
      </w:r>
      <w:r w:rsidR="642D832B" w:rsidRPr="00F95B02">
        <w:rPr>
          <w:sz w:val="24"/>
          <w:szCs w:val="24"/>
        </w:rPr>
        <w:t>merkezlerinde</w:t>
      </w:r>
      <w:r w:rsidR="6FF24BAF" w:rsidRPr="00F95B02">
        <w:rPr>
          <w:sz w:val="24"/>
          <w:szCs w:val="24"/>
        </w:rPr>
        <w:t xml:space="preserve"> yapılan ve </w:t>
      </w:r>
      <w:r w:rsidR="26CA3E9A" w:rsidRPr="00F95B02">
        <w:rPr>
          <w:sz w:val="24"/>
          <w:szCs w:val="24"/>
        </w:rPr>
        <w:t>erken</w:t>
      </w:r>
      <w:r w:rsidR="6FF24BAF" w:rsidRPr="00F95B02">
        <w:rPr>
          <w:sz w:val="24"/>
          <w:szCs w:val="24"/>
        </w:rPr>
        <w:t xml:space="preserve"> tanı ile tama yakın tedavi </w:t>
      </w:r>
      <w:r w:rsidR="4F2B8CC9" w:rsidRPr="00F95B02">
        <w:rPr>
          <w:sz w:val="24"/>
          <w:szCs w:val="24"/>
        </w:rPr>
        <w:t>imkânı</w:t>
      </w:r>
      <w:r w:rsidR="6FF24BAF" w:rsidRPr="00F95B02">
        <w:rPr>
          <w:sz w:val="24"/>
          <w:szCs w:val="24"/>
        </w:rPr>
        <w:t xml:space="preserve"> olan kolon kanseri tarama sayılarına dair bir bil</w:t>
      </w:r>
      <w:r w:rsidR="6B067C15" w:rsidRPr="00F95B02">
        <w:rPr>
          <w:sz w:val="24"/>
          <w:szCs w:val="24"/>
        </w:rPr>
        <w:t>gi yoktur.</w:t>
      </w:r>
    </w:p>
    <w:p w14:paraId="47D99D0B" w14:textId="7826749E" w:rsidR="00632937" w:rsidRDefault="00632937" w:rsidP="47108F29">
      <w:r>
        <w:rPr>
          <w:noProof/>
          <w:lang w:eastAsia="tr-TR"/>
        </w:rPr>
        <w:drawing>
          <wp:inline distT="0" distB="0" distL="0" distR="0" wp14:anchorId="25D885A0" wp14:editId="5F0A2F32">
            <wp:extent cx="4572000" cy="27432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982B5E" w14:textId="78BCFFB6" w:rsidR="007D5815" w:rsidRPr="00F95B02" w:rsidRDefault="1478B257" w:rsidP="47108F29">
      <w:pPr>
        <w:rPr>
          <w:sz w:val="24"/>
          <w:szCs w:val="24"/>
        </w:rPr>
      </w:pPr>
      <w:r w:rsidRPr="00F95B02">
        <w:rPr>
          <w:sz w:val="24"/>
          <w:szCs w:val="24"/>
        </w:rPr>
        <w:t xml:space="preserve">Türkiye’de 2019 yılında 1.850.000 GGK testi </w:t>
      </w:r>
      <w:r w:rsidR="6BAF8CD4" w:rsidRPr="00F95B02">
        <w:rPr>
          <w:sz w:val="24"/>
          <w:szCs w:val="24"/>
        </w:rPr>
        <w:t>yapmıştır</w:t>
      </w:r>
      <w:r w:rsidR="0007029B">
        <w:rPr>
          <w:sz w:val="24"/>
          <w:szCs w:val="24"/>
        </w:rPr>
        <w:t>.</w:t>
      </w:r>
      <w:r w:rsidRPr="00F95B02">
        <w:rPr>
          <w:sz w:val="24"/>
          <w:szCs w:val="24"/>
        </w:rPr>
        <w:t xml:space="preserve"> </w:t>
      </w:r>
      <w:r w:rsidR="00BD25D4" w:rsidRPr="00F95B02">
        <w:rPr>
          <w:sz w:val="24"/>
          <w:szCs w:val="24"/>
        </w:rPr>
        <w:t>Geçmiş yıllardaki kanser tarama</w:t>
      </w:r>
      <w:r w:rsidRPr="00F95B02">
        <w:rPr>
          <w:sz w:val="24"/>
          <w:szCs w:val="24"/>
        </w:rPr>
        <w:t xml:space="preserve"> v</w:t>
      </w:r>
      <w:r w:rsidR="16B4A7CE" w:rsidRPr="00F95B02">
        <w:rPr>
          <w:sz w:val="24"/>
          <w:szCs w:val="24"/>
        </w:rPr>
        <w:t>e</w:t>
      </w:r>
      <w:r w:rsidRPr="00F95B02">
        <w:rPr>
          <w:sz w:val="24"/>
          <w:szCs w:val="24"/>
        </w:rPr>
        <w:t>ril</w:t>
      </w:r>
      <w:r w:rsidR="49414E3A" w:rsidRPr="00F95B02">
        <w:rPr>
          <w:sz w:val="24"/>
          <w:szCs w:val="24"/>
        </w:rPr>
        <w:t>e</w:t>
      </w:r>
      <w:r w:rsidRPr="00F95B02">
        <w:rPr>
          <w:sz w:val="24"/>
          <w:szCs w:val="24"/>
        </w:rPr>
        <w:t>r</w:t>
      </w:r>
      <w:r w:rsidR="00BD25D4" w:rsidRPr="00F95B02">
        <w:rPr>
          <w:sz w:val="24"/>
          <w:szCs w:val="24"/>
        </w:rPr>
        <w:t>in</w:t>
      </w:r>
      <w:r w:rsidRPr="00F95B02">
        <w:rPr>
          <w:sz w:val="24"/>
          <w:szCs w:val="24"/>
        </w:rPr>
        <w:t xml:space="preserve">de test pozitifliği %5 ve pozitifler için </w:t>
      </w:r>
      <w:proofErr w:type="spellStart"/>
      <w:r w:rsidRPr="00F95B02">
        <w:rPr>
          <w:sz w:val="24"/>
          <w:szCs w:val="24"/>
        </w:rPr>
        <w:t>kolonoskopi</w:t>
      </w:r>
      <w:proofErr w:type="spellEnd"/>
      <w:r w:rsidRPr="00F95B02">
        <w:rPr>
          <w:sz w:val="24"/>
          <w:szCs w:val="24"/>
        </w:rPr>
        <w:t xml:space="preserve"> ile </w:t>
      </w:r>
      <w:r w:rsidR="1DFE0E15" w:rsidRPr="00F95B02">
        <w:rPr>
          <w:sz w:val="24"/>
          <w:szCs w:val="24"/>
        </w:rPr>
        <w:t>tespit</w:t>
      </w:r>
      <w:r w:rsidRPr="00F95B02">
        <w:rPr>
          <w:sz w:val="24"/>
          <w:szCs w:val="24"/>
        </w:rPr>
        <w:t xml:space="preserve"> edilen kanser vaka oranı %6 olarak </w:t>
      </w:r>
      <w:r w:rsidR="00BD25D4" w:rsidRPr="00F95B02">
        <w:rPr>
          <w:sz w:val="24"/>
          <w:szCs w:val="24"/>
        </w:rPr>
        <w:t>belirlenmiştir</w:t>
      </w:r>
      <w:r w:rsidR="004F2667">
        <w:rPr>
          <w:rStyle w:val="SonnotBavurusu"/>
          <w:sz w:val="24"/>
          <w:szCs w:val="24"/>
        </w:rPr>
        <w:endnoteReference w:id="3"/>
      </w:r>
      <w:r w:rsidR="0007029B">
        <w:rPr>
          <w:sz w:val="24"/>
          <w:szCs w:val="24"/>
        </w:rPr>
        <w:t>.</w:t>
      </w:r>
      <w:r w:rsidR="004F2667">
        <w:rPr>
          <w:sz w:val="24"/>
          <w:szCs w:val="24"/>
        </w:rPr>
        <w:t xml:space="preserve"> </w:t>
      </w:r>
      <w:r w:rsidR="21B4A7C9" w:rsidRPr="00F95B02">
        <w:rPr>
          <w:sz w:val="24"/>
          <w:szCs w:val="24"/>
        </w:rPr>
        <w:t xml:space="preserve">Bu oranlar ve sayılar ile birinci basamakta yapılan taramalar ile </w:t>
      </w:r>
      <w:r w:rsidR="00BD25D4" w:rsidRPr="00F95B02">
        <w:rPr>
          <w:sz w:val="24"/>
          <w:szCs w:val="24"/>
        </w:rPr>
        <w:t xml:space="preserve">2019 yılında </w:t>
      </w:r>
      <w:r w:rsidR="21B4A7C9" w:rsidRPr="00F95B02">
        <w:rPr>
          <w:sz w:val="24"/>
          <w:szCs w:val="24"/>
        </w:rPr>
        <w:t xml:space="preserve">5500 kişide erken evrede </w:t>
      </w:r>
      <w:r w:rsidR="00BD25D4" w:rsidRPr="00F95B02">
        <w:rPr>
          <w:sz w:val="24"/>
          <w:szCs w:val="24"/>
        </w:rPr>
        <w:t>kolon kanseri yakalanmış olmalıd</w:t>
      </w:r>
      <w:r w:rsidR="21B4A7C9" w:rsidRPr="00F95B02">
        <w:rPr>
          <w:sz w:val="24"/>
          <w:szCs w:val="24"/>
        </w:rPr>
        <w:t xml:space="preserve">ır. </w:t>
      </w:r>
    </w:p>
    <w:p w14:paraId="4EBB268D" w14:textId="3D32DACD" w:rsidR="1478B257" w:rsidRPr="00F95B02" w:rsidRDefault="007D5815" w:rsidP="47108F29">
      <w:pPr>
        <w:rPr>
          <w:sz w:val="24"/>
          <w:szCs w:val="24"/>
        </w:rPr>
      </w:pPr>
      <w:r w:rsidRPr="00F95B02">
        <w:rPr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61760706" wp14:editId="7E715E2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98520" cy="2171700"/>
            <wp:effectExtent l="0" t="0" r="11430" b="0"/>
            <wp:wrapSquare wrapText="bothSides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9A7B273" w:rsidRPr="00F95B02">
        <w:rPr>
          <w:sz w:val="24"/>
          <w:szCs w:val="24"/>
        </w:rPr>
        <w:t xml:space="preserve">2020 </w:t>
      </w:r>
      <w:r w:rsidR="073DD597" w:rsidRPr="00F95B02">
        <w:rPr>
          <w:sz w:val="24"/>
          <w:szCs w:val="24"/>
        </w:rPr>
        <w:t xml:space="preserve">kesin </w:t>
      </w:r>
      <w:r w:rsidR="29A7B273" w:rsidRPr="00F95B02">
        <w:rPr>
          <w:sz w:val="24"/>
          <w:szCs w:val="24"/>
        </w:rPr>
        <w:t xml:space="preserve">sayılarını bilmiyoruz ancak </w:t>
      </w:r>
      <w:r w:rsidR="6EF71328" w:rsidRPr="00F95B02">
        <w:rPr>
          <w:sz w:val="24"/>
          <w:szCs w:val="24"/>
        </w:rPr>
        <w:t>Sağlık B</w:t>
      </w:r>
      <w:r w:rsidR="17E1E6CC" w:rsidRPr="00F95B02">
        <w:rPr>
          <w:sz w:val="24"/>
          <w:szCs w:val="24"/>
        </w:rPr>
        <w:t xml:space="preserve">akanlığı verilerine göre </w:t>
      </w:r>
      <w:r w:rsidR="17E1E6CC" w:rsidRPr="4B0E2DF7">
        <w:rPr>
          <w:b/>
          <w:bCs/>
          <w:sz w:val="24"/>
          <w:szCs w:val="24"/>
        </w:rPr>
        <w:t>en az 3000 kişinin kolon kanserini erken tespit etme şansı kaybolmuştur</w:t>
      </w:r>
      <w:r w:rsidR="17E1E6CC" w:rsidRPr="00F95B02">
        <w:rPr>
          <w:sz w:val="24"/>
          <w:szCs w:val="24"/>
        </w:rPr>
        <w:t>.</w:t>
      </w:r>
      <w:r w:rsidR="5DE8CF62" w:rsidRPr="00F95B02">
        <w:rPr>
          <w:sz w:val="24"/>
          <w:szCs w:val="24"/>
        </w:rPr>
        <w:t xml:space="preserve"> TTB 9. Ay raporunda, 2019 birinci basamakta erken tanı şansı yakalayan 20.000 kişi olduğu belirtilmiştir. Salgın döneminde ertelenen sağlık sorunları binlerce kişinin erken tanı ve tedavi şansını kaybetmesine neden olmuştur.</w:t>
      </w:r>
      <w:r w:rsidR="195A8476" w:rsidRPr="00F95B02">
        <w:rPr>
          <w:sz w:val="24"/>
          <w:szCs w:val="24"/>
        </w:rPr>
        <w:t xml:space="preserve"> </w:t>
      </w:r>
    </w:p>
    <w:p w14:paraId="228C7294" w14:textId="77777777" w:rsidR="007D5815" w:rsidRDefault="007D5815" w:rsidP="00CA05BD">
      <w:pPr>
        <w:pStyle w:val="Balk2"/>
      </w:pPr>
    </w:p>
    <w:p w14:paraId="4DDF81EC" w14:textId="459217C4" w:rsidR="47108F29" w:rsidRPr="00F95B02" w:rsidRDefault="00385594" w:rsidP="00F95B02">
      <w:pPr>
        <w:pStyle w:val="Balk1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00F95B02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Kimin </w:t>
      </w:r>
      <w:r w:rsidR="00CA05BD" w:rsidRPr="00F95B02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Sağlık Sorunları</w:t>
      </w:r>
      <w:r w:rsidRPr="00F95B02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 Erteleniyor?</w:t>
      </w:r>
      <w:r w:rsidR="007A5884" w:rsidRPr="00F95B02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 Artan Vaka Sayıları Nereler</w:t>
      </w:r>
      <w:r w:rsidR="00874E67" w:rsidRPr="00F95B02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de Görülüyor?</w:t>
      </w:r>
      <w:r w:rsidR="00CA05BD" w:rsidRPr="00F95B02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 xml:space="preserve"> </w:t>
      </w:r>
    </w:p>
    <w:p w14:paraId="10A687FB" w14:textId="01B51D3A" w:rsidR="00BE2C5A" w:rsidRPr="00BE2C5A" w:rsidRDefault="00BE2C5A" w:rsidP="00BE2C5A">
      <w:r>
        <w:t>“</w:t>
      </w:r>
      <w:r w:rsidRPr="00BE2C5A">
        <w:rPr>
          <w:i/>
        </w:rPr>
        <w:t>Adam tezgâhını kapatmış para yok pul yok. Bana kim bakacak diye soruyor</w:t>
      </w:r>
      <w:r>
        <w:t>”</w:t>
      </w:r>
    </w:p>
    <w:p w14:paraId="38F5246E" w14:textId="0CC46DF9" w:rsidR="0007029B" w:rsidRDefault="58622CCD" w:rsidP="4B0E2DF7">
      <w:pPr>
        <w:rPr>
          <w:sz w:val="24"/>
          <w:szCs w:val="24"/>
        </w:rPr>
      </w:pPr>
      <w:r w:rsidRPr="4B0E2DF7">
        <w:rPr>
          <w:sz w:val="24"/>
          <w:szCs w:val="24"/>
        </w:rPr>
        <w:t xml:space="preserve">Çalışmalarımızdan elde edilen veriler ile vaka sayılarının güncel durumuna ve salgının seyrine ışık tutmaya çalıştık. Hastaların ve aile hekimliği çalışanlarının yaşadıklarını, salgın yönetiminde aşılması gereken sorunları, tükenmişliği ve sıkışmışlığı bu 3 ay içinde yaptığımız 4 anket çalışması ile ortaya serdik. </w:t>
      </w:r>
    </w:p>
    <w:p w14:paraId="44ED6C87" w14:textId="2E4CC7C3" w:rsidR="0007029B" w:rsidRDefault="58622CCD">
      <w:pPr>
        <w:rPr>
          <w:sz w:val="24"/>
          <w:szCs w:val="24"/>
        </w:rPr>
      </w:pPr>
      <w:r w:rsidRPr="4B0E2DF7">
        <w:rPr>
          <w:sz w:val="24"/>
          <w:szCs w:val="24"/>
        </w:rPr>
        <w:t xml:space="preserve">Son anketimizde salgının yaratmış olduğu ertelenmiş sağlık sorunları olup olmadığını </w:t>
      </w:r>
      <w:r w:rsidR="65EFB2A1" w:rsidRPr="4B0E2DF7">
        <w:rPr>
          <w:sz w:val="24"/>
          <w:szCs w:val="24"/>
        </w:rPr>
        <w:t>tespiti</w:t>
      </w:r>
      <w:r w:rsidRPr="4B0E2DF7">
        <w:rPr>
          <w:sz w:val="24"/>
          <w:szCs w:val="24"/>
        </w:rPr>
        <w:t xml:space="preserve"> için başlıca aile sağlığı merkezlerinde yapılan kanser taramalarının durumunu sorguladık. Ne yazık ki buradan elde ettiğimiz veriler salgın sonrası </w:t>
      </w:r>
      <w:r w:rsidR="22751617" w:rsidRPr="4B0E2DF7">
        <w:rPr>
          <w:sz w:val="24"/>
          <w:szCs w:val="24"/>
        </w:rPr>
        <w:t>COVID19</w:t>
      </w:r>
      <w:r w:rsidRPr="4B0E2DF7">
        <w:rPr>
          <w:sz w:val="24"/>
          <w:szCs w:val="24"/>
        </w:rPr>
        <w:t xml:space="preserve"> ve </w:t>
      </w:r>
      <w:r w:rsidR="22751617" w:rsidRPr="4B0E2DF7">
        <w:rPr>
          <w:sz w:val="24"/>
          <w:szCs w:val="24"/>
        </w:rPr>
        <w:t>COVID19</w:t>
      </w:r>
      <w:r w:rsidRPr="4B0E2DF7">
        <w:rPr>
          <w:sz w:val="24"/>
          <w:szCs w:val="24"/>
        </w:rPr>
        <w:t xml:space="preserve"> dışı önemli sağlık sorunları ve hastalık yükleri ile karşılaşacağımızı işaret ediyor</w:t>
      </w:r>
      <w:r w:rsidR="65EFB2A1" w:rsidRPr="4B0E2DF7">
        <w:rPr>
          <w:sz w:val="24"/>
          <w:szCs w:val="24"/>
        </w:rPr>
        <w:t>.</w:t>
      </w:r>
      <w:r w:rsidR="471AD81B" w:rsidRPr="4B0E2DF7">
        <w:rPr>
          <w:sz w:val="24"/>
          <w:szCs w:val="24"/>
        </w:rPr>
        <w:t xml:space="preserve"> Salgından en çok etkilenenlerin yoksullar olduğu açıktır. Salgın İstanbul’da yayılınca </w:t>
      </w:r>
      <w:r w:rsidR="05BFBD4D" w:rsidRPr="4B0E2DF7">
        <w:rPr>
          <w:sz w:val="24"/>
          <w:szCs w:val="24"/>
        </w:rPr>
        <w:t xml:space="preserve">kısmi </w:t>
      </w:r>
      <w:r w:rsidR="471AD81B" w:rsidRPr="4B0E2DF7">
        <w:rPr>
          <w:sz w:val="24"/>
          <w:szCs w:val="24"/>
        </w:rPr>
        <w:t>tedbirler alınıyor, İstanbul’da azalınca tedbirler gevşet</w:t>
      </w:r>
      <w:r w:rsidR="15B1E85C" w:rsidRPr="4B0E2DF7">
        <w:rPr>
          <w:sz w:val="24"/>
          <w:szCs w:val="24"/>
        </w:rPr>
        <w:t xml:space="preserve">iliyor. Bu ekonomik nedenlerle tedbir alınmama söylemleri ile de uyumludur. </w:t>
      </w:r>
      <w:r w:rsidR="536A1824" w:rsidRPr="4B0E2DF7">
        <w:rPr>
          <w:sz w:val="24"/>
          <w:szCs w:val="24"/>
        </w:rPr>
        <w:t>Aşağıdaki tablolar salgının kimi vurduğunu bir kez daha görmemizi sağlayacaktır.</w:t>
      </w:r>
    </w:p>
    <w:p w14:paraId="0200C12D" w14:textId="63695B5F" w:rsidR="006F540F" w:rsidRDefault="00175CE1">
      <w:r w:rsidRPr="00175CE1">
        <w:rPr>
          <w:i/>
        </w:rPr>
        <w:t>“*C</w:t>
      </w:r>
      <w:r>
        <w:rPr>
          <w:i/>
        </w:rPr>
        <w:t>OVID</w:t>
      </w:r>
      <w:r w:rsidRPr="00175CE1">
        <w:rPr>
          <w:i/>
        </w:rPr>
        <w:t xml:space="preserve"> haricinde 2.basamaga sevk ettiğimiz hastalar muayene ol</w:t>
      </w:r>
      <w:r w:rsidR="00C40303">
        <w:rPr>
          <w:i/>
        </w:rPr>
        <w:t>a</w:t>
      </w:r>
      <w:r w:rsidRPr="00175CE1">
        <w:rPr>
          <w:i/>
        </w:rPr>
        <w:t>madıklarından tekrar bize geliyorlar</w:t>
      </w:r>
      <w:r>
        <w:t>”</w:t>
      </w:r>
    </w:p>
    <w:p w14:paraId="18799F6F" w14:textId="0E8D6598" w:rsidR="00DF195E" w:rsidRDefault="00DF195E" w:rsidP="0055173F">
      <w:r>
        <w:rPr>
          <w:noProof/>
          <w:lang w:eastAsia="tr-TR"/>
        </w:rPr>
        <w:lastRenderedPageBreak/>
        <w:drawing>
          <wp:inline distT="0" distB="0" distL="0" distR="0" wp14:anchorId="5EDB2883" wp14:editId="150B2A1E">
            <wp:extent cx="5731510" cy="3271520"/>
            <wp:effectExtent l="0" t="0" r="2540" b="508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2FEF34" w14:textId="2306B055" w:rsidR="00DF195E" w:rsidRPr="006F540F" w:rsidRDefault="00DF195E" w:rsidP="0055173F">
      <w:pPr>
        <w:rPr>
          <w:i/>
        </w:rPr>
      </w:pPr>
      <w:r w:rsidRPr="006F540F">
        <w:rPr>
          <w:i/>
        </w:rPr>
        <w:t>Hastane türlerine göre 2019 ve 2020 ilk 8 ayındaki başvuru sayılarında değişim</w:t>
      </w:r>
    </w:p>
    <w:p w14:paraId="5FDC5FA8" w14:textId="113A3432" w:rsidR="0055173F" w:rsidRPr="00F95B02" w:rsidRDefault="0055173F" w:rsidP="0055173F">
      <w:pPr>
        <w:rPr>
          <w:sz w:val="24"/>
          <w:szCs w:val="24"/>
        </w:rPr>
      </w:pPr>
      <w:r w:rsidRPr="00F95B02">
        <w:rPr>
          <w:sz w:val="24"/>
          <w:szCs w:val="24"/>
        </w:rPr>
        <w:t>Salgın dönemi boyunca yayınlanan SGK sağlık istatistiklerinde</w:t>
      </w:r>
      <w:r w:rsidR="007421B7">
        <w:rPr>
          <w:rStyle w:val="SonnotBavurusu"/>
          <w:sz w:val="24"/>
          <w:szCs w:val="24"/>
        </w:rPr>
        <w:endnoteReference w:id="4"/>
      </w:r>
      <w:r w:rsidRPr="00F95B02">
        <w:rPr>
          <w:sz w:val="24"/>
          <w:szCs w:val="24"/>
        </w:rPr>
        <w:t xml:space="preserve"> hastane başvuru sayılarına baktığımız zaman Ağustos ayında poliklinik sayıları geçen yıla göre artan tek kurum özel sağlık kuruluşlarıdır. </w:t>
      </w:r>
    </w:p>
    <w:tbl>
      <w:tblPr>
        <w:tblStyle w:val="DzTablo31"/>
        <w:tblW w:w="6267" w:type="dxa"/>
        <w:jc w:val="center"/>
        <w:tblLook w:val="04A0" w:firstRow="1" w:lastRow="0" w:firstColumn="1" w:lastColumn="0" w:noHBand="0" w:noVBand="1"/>
      </w:tblPr>
      <w:tblGrid>
        <w:gridCol w:w="2055"/>
        <w:gridCol w:w="1053"/>
        <w:gridCol w:w="905"/>
        <w:gridCol w:w="2254"/>
      </w:tblGrid>
      <w:tr w:rsidR="000505AF" w14:paraId="5B219BE5" w14:textId="77777777" w:rsidTr="4B0E2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5" w:type="dxa"/>
          </w:tcPr>
          <w:p w14:paraId="14DD004A" w14:textId="24160E43" w:rsidR="000505AF" w:rsidRDefault="000505AF" w:rsidP="000505AF">
            <w:r>
              <w:rPr>
                <w:rFonts w:ascii="Calibri" w:hAnsi="Calibri" w:cs="Calibri"/>
                <w:color w:val="000000"/>
              </w:rPr>
              <w:t>Mahalle</w:t>
            </w:r>
          </w:p>
        </w:tc>
        <w:tc>
          <w:tcPr>
            <w:tcW w:w="1053" w:type="dxa"/>
          </w:tcPr>
          <w:p w14:paraId="7D60E0C2" w14:textId="7D2DD550" w:rsidR="000505AF" w:rsidRDefault="000505AF" w:rsidP="00050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Nüfus</w:t>
            </w:r>
          </w:p>
        </w:tc>
        <w:tc>
          <w:tcPr>
            <w:tcW w:w="905" w:type="dxa"/>
          </w:tcPr>
          <w:p w14:paraId="089B766E" w14:textId="625D4802" w:rsidR="000505AF" w:rsidRDefault="000505AF" w:rsidP="00050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COVID</w:t>
            </w:r>
          </w:p>
        </w:tc>
        <w:tc>
          <w:tcPr>
            <w:tcW w:w="2254" w:type="dxa"/>
          </w:tcPr>
          <w:p w14:paraId="4F1B087E" w14:textId="713ED429" w:rsidR="000505AF" w:rsidRDefault="000505AF" w:rsidP="00050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Nufüs/COVID Oranı</w:t>
            </w:r>
          </w:p>
        </w:tc>
      </w:tr>
      <w:tr w:rsidR="000505AF" w14:paraId="603BADDC" w14:textId="77777777" w:rsidTr="4B0E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33667D07" w14:textId="38CCAA7B" w:rsidR="000505AF" w:rsidRDefault="000505AF" w:rsidP="000505AF">
            <w:r>
              <w:rPr>
                <w:rFonts w:ascii="Calibri" w:hAnsi="Calibri" w:cs="Calibri"/>
                <w:color w:val="000000"/>
              </w:rPr>
              <w:t>Avcılar</w:t>
            </w:r>
          </w:p>
        </w:tc>
        <w:tc>
          <w:tcPr>
            <w:tcW w:w="1053" w:type="dxa"/>
          </w:tcPr>
          <w:p w14:paraId="7DD75167" w14:textId="7484445E" w:rsidR="000505AF" w:rsidRDefault="77C1C0E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rPr>
                <w:rFonts w:ascii="Calibri" w:hAnsi="Calibri" w:cs="Calibri"/>
                <w:color w:val="000000" w:themeColor="text1"/>
              </w:rPr>
              <w:t>344</w:t>
            </w:r>
            <w:r w:rsidR="167E6DCF" w:rsidRPr="4B0E2DF7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05" w:type="dxa"/>
          </w:tcPr>
          <w:p w14:paraId="485AD0C8" w14:textId="1FFA6408" w:rsidR="000505AF" w:rsidRDefault="000505A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2254" w:type="dxa"/>
          </w:tcPr>
          <w:p w14:paraId="5F0865F1" w14:textId="406CE07D" w:rsidR="000505AF" w:rsidRDefault="000505AF" w:rsidP="0005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% 6,15</w:t>
            </w:r>
          </w:p>
        </w:tc>
      </w:tr>
      <w:tr w:rsidR="000505AF" w14:paraId="1DF11168" w14:textId="77777777" w:rsidTr="4B0E2D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6C89AC8F" w14:textId="129614D4" w:rsidR="000505AF" w:rsidRDefault="000505AF" w:rsidP="000505AF">
            <w:r>
              <w:rPr>
                <w:rFonts w:ascii="Calibri" w:hAnsi="Calibri" w:cs="Calibri"/>
                <w:color w:val="000000"/>
              </w:rPr>
              <w:t>Beşiktaş</w:t>
            </w:r>
          </w:p>
        </w:tc>
        <w:tc>
          <w:tcPr>
            <w:tcW w:w="1053" w:type="dxa"/>
          </w:tcPr>
          <w:p w14:paraId="78ADC968" w14:textId="7A1001BC" w:rsidR="000505AF" w:rsidRDefault="77C1C0EF" w:rsidP="00050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rPr>
                <w:rFonts w:ascii="Calibri" w:hAnsi="Calibri" w:cs="Calibri"/>
                <w:color w:val="000000" w:themeColor="text1"/>
              </w:rPr>
              <w:t>312</w:t>
            </w:r>
            <w:r w:rsidR="0D009984" w:rsidRPr="4B0E2DF7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905" w:type="dxa"/>
          </w:tcPr>
          <w:p w14:paraId="3E148481" w14:textId="66492D14" w:rsidR="000505AF" w:rsidRDefault="000505AF" w:rsidP="00050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254" w:type="dxa"/>
          </w:tcPr>
          <w:p w14:paraId="342C2E18" w14:textId="3BFC9042" w:rsidR="000505AF" w:rsidRDefault="000505AF" w:rsidP="0005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% 3,84</w:t>
            </w:r>
          </w:p>
        </w:tc>
      </w:tr>
      <w:tr w:rsidR="000505AF" w14:paraId="2C2AC374" w14:textId="77777777" w:rsidTr="4B0E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44358F95" w14:textId="36EED6DB" w:rsidR="000505AF" w:rsidRDefault="000505AF" w:rsidP="000505AF">
            <w:r>
              <w:rPr>
                <w:rFonts w:ascii="Calibri" w:hAnsi="Calibri" w:cs="Calibri"/>
                <w:color w:val="000000"/>
              </w:rPr>
              <w:t>Beşiktaş</w:t>
            </w:r>
          </w:p>
        </w:tc>
        <w:tc>
          <w:tcPr>
            <w:tcW w:w="1053" w:type="dxa"/>
          </w:tcPr>
          <w:p w14:paraId="55D227EF" w14:textId="1C1B27A7" w:rsidR="000505AF" w:rsidRDefault="77C1C0E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B0E2DF7">
              <w:rPr>
                <w:rFonts w:ascii="Calibri" w:hAnsi="Calibri" w:cs="Calibri"/>
                <w:color w:val="000000" w:themeColor="text1"/>
              </w:rPr>
              <w:t>346</w:t>
            </w:r>
            <w:r w:rsidR="46743C92" w:rsidRPr="4B0E2DF7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905" w:type="dxa"/>
          </w:tcPr>
          <w:p w14:paraId="7A52EFBC" w14:textId="5F491A5E" w:rsidR="000505AF" w:rsidRDefault="000505A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254" w:type="dxa"/>
          </w:tcPr>
          <w:p w14:paraId="5AC3FF6C" w14:textId="6337177B" w:rsidR="000505AF" w:rsidRDefault="000505AF" w:rsidP="0005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% 4,61</w:t>
            </w:r>
          </w:p>
        </w:tc>
      </w:tr>
      <w:tr w:rsidR="000505AF" w14:paraId="0A0D2B4C" w14:textId="77777777" w:rsidTr="4B0E2D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7F98FE39" w14:textId="22B970D3" w:rsidR="000505AF" w:rsidRDefault="000505AF" w:rsidP="000505AF">
            <w:r>
              <w:rPr>
                <w:rFonts w:ascii="Calibri" w:hAnsi="Calibri" w:cs="Calibri"/>
                <w:color w:val="000000"/>
              </w:rPr>
              <w:t>Beşiktaş</w:t>
            </w:r>
          </w:p>
        </w:tc>
        <w:tc>
          <w:tcPr>
            <w:tcW w:w="1053" w:type="dxa"/>
          </w:tcPr>
          <w:p w14:paraId="2B5DBCAE" w14:textId="72D01C6D" w:rsidR="000505AF" w:rsidRDefault="77C1C0EF" w:rsidP="00050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B0E2DF7">
              <w:rPr>
                <w:rFonts w:ascii="Calibri" w:hAnsi="Calibri" w:cs="Calibri"/>
                <w:color w:val="000000" w:themeColor="text1"/>
              </w:rPr>
              <w:t>347</w:t>
            </w:r>
            <w:r w:rsidR="3AC195B0" w:rsidRPr="4B0E2DF7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905" w:type="dxa"/>
          </w:tcPr>
          <w:p w14:paraId="461C2F4F" w14:textId="4CBF99B5" w:rsidR="000505AF" w:rsidRDefault="000505AF" w:rsidP="00050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2254" w:type="dxa"/>
          </w:tcPr>
          <w:p w14:paraId="424FCA35" w14:textId="538CABEA" w:rsidR="000505AF" w:rsidRDefault="000505AF" w:rsidP="0005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% 4,43</w:t>
            </w:r>
          </w:p>
        </w:tc>
      </w:tr>
      <w:tr w:rsidR="000505AF" w14:paraId="2E40AD2B" w14:textId="77777777" w:rsidTr="4B0E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6228F224" w14:textId="787E5799" w:rsidR="000505AF" w:rsidRDefault="000505AF" w:rsidP="000505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Beşiktaş</w:t>
            </w:r>
          </w:p>
        </w:tc>
        <w:tc>
          <w:tcPr>
            <w:tcW w:w="1053" w:type="dxa"/>
          </w:tcPr>
          <w:p w14:paraId="57DE2DB6" w14:textId="6FDC4C0E" w:rsidR="000505AF" w:rsidRDefault="77C1C0E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4B0E2DF7">
              <w:rPr>
                <w:rFonts w:ascii="Calibri" w:hAnsi="Calibri" w:cs="Calibri"/>
                <w:color w:val="000000" w:themeColor="text1"/>
              </w:rPr>
              <w:t>339</w:t>
            </w:r>
            <w:r w:rsidR="3E35BD16" w:rsidRPr="4B0E2DF7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905" w:type="dxa"/>
          </w:tcPr>
          <w:p w14:paraId="018C88C5" w14:textId="04FD3426" w:rsidR="000505AF" w:rsidRDefault="000505A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2254" w:type="dxa"/>
          </w:tcPr>
          <w:p w14:paraId="0767A564" w14:textId="56AC0EDE" w:rsidR="000505AF" w:rsidRDefault="000505AF" w:rsidP="0005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4,79</w:t>
            </w:r>
          </w:p>
        </w:tc>
      </w:tr>
      <w:tr w:rsidR="000505AF" w14:paraId="33B51B67" w14:textId="77777777" w:rsidTr="4B0E2D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661A46A6" w14:textId="3B1DA883" w:rsidR="000505AF" w:rsidRDefault="000505AF" w:rsidP="000505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Küçükçekmece</w:t>
            </w:r>
          </w:p>
        </w:tc>
        <w:tc>
          <w:tcPr>
            <w:tcW w:w="1053" w:type="dxa"/>
          </w:tcPr>
          <w:p w14:paraId="1915455E" w14:textId="7C50C2E9" w:rsidR="000505AF" w:rsidRDefault="77C1C0EF" w:rsidP="00050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4B0E2DF7">
              <w:rPr>
                <w:rFonts w:ascii="Calibri" w:hAnsi="Calibri" w:cs="Calibri"/>
                <w:color w:val="000000" w:themeColor="text1"/>
              </w:rPr>
              <w:t>39</w:t>
            </w:r>
            <w:r w:rsidR="59E9A27F" w:rsidRPr="4B0E2DF7">
              <w:rPr>
                <w:rFonts w:ascii="Calibri" w:hAnsi="Calibri" w:cs="Calibri"/>
                <w:color w:val="000000" w:themeColor="text1"/>
              </w:rPr>
              <w:t>87</w:t>
            </w:r>
          </w:p>
        </w:tc>
        <w:tc>
          <w:tcPr>
            <w:tcW w:w="905" w:type="dxa"/>
          </w:tcPr>
          <w:p w14:paraId="6012F2AD" w14:textId="22E3016F" w:rsidR="000505AF" w:rsidRDefault="000505AF" w:rsidP="00050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2254" w:type="dxa"/>
          </w:tcPr>
          <w:p w14:paraId="51F4B448" w14:textId="21C332D7" w:rsidR="000505AF" w:rsidRDefault="000505AF" w:rsidP="0005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8,91</w:t>
            </w:r>
          </w:p>
        </w:tc>
      </w:tr>
      <w:tr w:rsidR="000505AF" w14:paraId="4FD78351" w14:textId="77777777" w:rsidTr="4B0E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1B9B50D9" w14:textId="2E4F8AB6" w:rsidR="000505AF" w:rsidRDefault="000505AF" w:rsidP="000505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Moda</w:t>
            </w:r>
          </w:p>
        </w:tc>
        <w:tc>
          <w:tcPr>
            <w:tcW w:w="1053" w:type="dxa"/>
          </w:tcPr>
          <w:p w14:paraId="30796827" w14:textId="388477CD" w:rsidR="000505AF" w:rsidRDefault="77C1C0E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4B0E2DF7">
              <w:rPr>
                <w:rFonts w:ascii="Calibri" w:hAnsi="Calibri" w:cs="Calibri"/>
                <w:color w:val="000000" w:themeColor="text1"/>
              </w:rPr>
              <w:t>388</w:t>
            </w:r>
            <w:r w:rsidR="57143388" w:rsidRPr="4B0E2DF7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05" w:type="dxa"/>
          </w:tcPr>
          <w:p w14:paraId="3C9D7968" w14:textId="10386D6D" w:rsidR="000505AF" w:rsidRDefault="000505A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254" w:type="dxa"/>
          </w:tcPr>
          <w:p w14:paraId="00477170" w14:textId="588233ED" w:rsidR="000505AF" w:rsidRDefault="000505AF" w:rsidP="0005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3,01</w:t>
            </w:r>
          </w:p>
        </w:tc>
      </w:tr>
      <w:tr w:rsidR="000505AF" w14:paraId="20E4A257" w14:textId="77777777" w:rsidTr="4B0E2D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5F408D1D" w14:textId="17014F06" w:rsidR="000505AF" w:rsidRDefault="000505AF" w:rsidP="000505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Pendik</w:t>
            </w:r>
          </w:p>
        </w:tc>
        <w:tc>
          <w:tcPr>
            <w:tcW w:w="1053" w:type="dxa"/>
          </w:tcPr>
          <w:p w14:paraId="4A728825" w14:textId="61EEE5A4" w:rsidR="000505AF" w:rsidRDefault="77C1C0EF" w:rsidP="00050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4B0E2DF7">
              <w:rPr>
                <w:rFonts w:ascii="Calibri" w:hAnsi="Calibri" w:cs="Calibri"/>
                <w:color w:val="000000" w:themeColor="text1"/>
              </w:rPr>
              <w:t>32</w:t>
            </w:r>
            <w:r w:rsidR="59014EC6" w:rsidRPr="4B0E2DF7">
              <w:rPr>
                <w:rFonts w:ascii="Calibri" w:hAnsi="Calibri" w:cs="Calibri"/>
                <w:color w:val="000000" w:themeColor="text1"/>
              </w:rPr>
              <w:t>1</w:t>
            </w:r>
            <w:r w:rsidRPr="4B0E2DF7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905" w:type="dxa"/>
          </w:tcPr>
          <w:p w14:paraId="26DDE1E3" w14:textId="1D0E706F" w:rsidR="000505AF" w:rsidRDefault="000505AF" w:rsidP="00050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2254" w:type="dxa"/>
          </w:tcPr>
          <w:p w14:paraId="292F9144" w14:textId="160EF26D" w:rsidR="000505AF" w:rsidRDefault="000505AF" w:rsidP="0005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7,05</w:t>
            </w:r>
          </w:p>
        </w:tc>
      </w:tr>
      <w:tr w:rsidR="000505AF" w14:paraId="5E7A4184" w14:textId="77777777" w:rsidTr="4B0E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26DED1F3" w14:textId="1BF3FFD0" w:rsidR="000505AF" w:rsidRDefault="000505AF" w:rsidP="000505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Ümraniye</w:t>
            </w:r>
          </w:p>
        </w:tc>
        <w:tc>
          <w:tcPr>
            <w:tcW w:w="1053" w:type="dxa"/>
          </w:tcPr>
          <w:p w14:paraId="4D291997" w14:textId="15925AB3" w:rsidR="000505AF" w:rsidRDefault="77C1C0E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4B0E2DF7">
              <w:rPr>
                <w:rFonts w:ascii="Calibri" w:hAnsi="Calibri" w:cs="Calibri"/>
                <w:color w:val="000000" w:themeColor="text1"/>
              </w:rPr>
              <w:t>33</w:t>
            </w:r>
            <w:r w:rsidR="68CE939D" w:rsidRPr="4B0E2DF7">
              <w:rPr>
                <w:rFonts w:ascii="Calibri" w:hAnsi="Calibri" w:cs="Calibri"/>
                <w:color w:val="000000" w:themeColor="text1"/>
              </w:rPr>
              <w:t>7</w:t>
            </w:r>
            <w:r w:rsidRPr="4B0E2DF7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905" w:type="dxa"/>
          </w:tcPr>
          <w:p w14:paraId="3CC7862E" w14:textId="3E817353" w:rsidR="000505AF" w:rsidRDefault="000505A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2254" w:type="dxa"/>
          </w:tcPr>
          <w:p w14:paraId="4D7361C3" w14:textId="56770594" w:rsidR="000505AF" w:rsidRDefault="000505AF" w:rsidP="0005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7,81</w:t>
            </w:r>
          </w:p>
        </w:tc>
      </w:tr>
      <w:tr w:rsidR="000505AF" w14:paraId="62DD76A7" w14:textId="77777777" w:rsidTr="4B0E2D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9E01BC7" w14:textId="131DE72D" w:rsidR="000505AF" w:rsidRDefault="000505AF" w:rsidP="000505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Ümraniye</w:t>
            </w:r>
          </w:p>
        </w:tc>
        <w:tc>
          <w:tcPr>
            <w:tcW w:w="1053" w:type="dxa"/>
          </w:tcPr>
          <w:p w14:paraId="7596530B" w14:textId="7D3A6AE8" w:rsidR="000505AF" w:rsidRDefault="000505AF" w:rsidP="00050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905" w:type="dxa"/>
          </w:tcPr>
          <w:p w14:paraId="22FCBE37" w14:textId="45244403" w:rsidR="000505AF" w:rsidRDefault="000505AF" w:rsidP="00050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2254" w:type="dxa"/>
          </w:tcPr>
          <w:p w14:paraId="551A0923" w14:textId="2F1DF1A2" w:rsidR="000505AF" w:rsidRDefault="000505AF" w:rsidP="00050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7,77</w:t>
            </w:r>
          </w:p>
        </w:tc>
      </w:tr>
      <w:tr w:rsidR="000505AF" w14:paraId="371252AA" w14:textId="77777777" w:rsidTr="4B0E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2CBB0E09" w14:textId="32CF8995" w:rsidR="000505AF" w:rsidRDefault="000505AF" w:rsidP="000505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Zekeriyaköy</w:t>
            </w:r>
          </w:p>
        </w:tc>
        <w:tc>
          <w:tcPr>
            <w:tcW w:w="1053" w:type="dxa"/>
          </w:tcPr>
          <w:p w14:paraId="1F163B8D" w14:textId="5EDDF91C" w:rsidR="000505AF" w:rsidRDefault="000505A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</w:t>
            </w:r>
          </w:p>
        </w:tc>
        <w:tc>
          <w:tcPr>
            <w:tcW w:w="905" w:type="dxa"/>
          </w:tcPr>
          <w:p w14:paraId="32F74BC1" w14:textId="04AA9B2A" w:rsidR="000505AF" w:rsidRDefault="000505AF" w:rsidP="0005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254" w:type="dxa"/>
          </w:tcPr>
          <w:p w14:paraId="5421FDCC" w14:textId="2ACB98CA" w:rsidR="000505AF" w:rsidRDefault="000505AF" w:rsidP="00050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2,75</w:t>
            </w:r>
          </w:p>
        </w:tc>
      </w:tr>
    </w:tbl>
    <w:p w14:paraId="2E8E8908" w14:textId="2C4D5C6F" w:rsidR="00F61917" w:rsidRPr="000505AF" w:rsidRDefault="000505AF" w:rsidP="000505AF">
      <w:pPr>
        <w:ind w:left="708" w:firstLine="708"/>
        <w:rPr>
          <w:i/>
        </w:rPr>
      </w:pPr>
      <w:r w:rsidRPr="000505AF">
        <w:rPr>
          <w:i/>
        </w:rPr>
        <w:t>İstanbul’da farklı mahallelerde COVID19 geçiren hasta sayısı</w:t>
      </w:r>
      <w:r>
        <w:rPr>
          <w:i/>
        </w:rPr>
        <w:t xml:space="preserve"> ve nüfusa oranı</w:t>
      </w:r>
    </w:p>
    <w:p w14:paraId="0604FC06" w14:textId="7D359FBC" w:rsidR="00F95B02" w:rsidRDefault="00F95B02" w:rsidP="0055173F">
      <w:pPr>
        <w:rPr>
          <w:sz w:val="24"/>
          <w:szCs w:val="24"/>
        </w:rPr>
      </w:pPr>
      <w:r>
        <w:rPr>
          <w:sz w:val="24"/>
          <w:szCs w:val="24"/>
        </w:rPr>
        <w:t>Salgın</w:t>
      </w:r>
      <w:r w:rsidR="0007029B">
        <w:rPr>
          <w:sz w:val="24"/>
          <w:szCs w:val="24"/>
        </w:rPr>
        <w:t xml:space="preserve"> en çok yoksul ve kalabalık yerlerde yaşayan insanları etkilemiş, </w:t>
      </w:r>
      <w:r w:rsidR="0076357A">
        <w:rPr>
          <w:sz w:val="24"/>
          <w:szCs w:val="24"/>
        </w:rPr>
        <w:t xml:space="preserve">toplumda </w:t>
      </w:r>
      <w:r w:rsidR="0076357A" w:rsidRPr="00F95B02">
        <w:rPr>
          <w:sz w:val="24"/>
          <w:szCs w:val="24"/>
        </w:rPr>
        <w:t>eşitsizlikleri</w:t>
      </w:r>
      <w:r>
        <w:rPr>
          <w:sz w:val="24"/>
          <w:szCs w:val="24"/>
        </w:rPr>
        <w:t xml:space="preserve"> derinleştirmiştir…</w:t>
      </w:r>
    </w:p>
    <w:p w14:paraId="5CC9219F" w14:textId="77777777" w:rsidR="004A2182" w:rsidRDefault="00F95B02" w:rsidP="0055173F">
      <w:pPr>
        <w:rPr>
          <w:sz w:val="24"/>
          <w:szCs w:val="24"/>
        </w:rPr>
      </w:pPr>
      <w:r>
        <w:rPr>
          <w:sz w:val="24"/>
          <w:szCs w:val="24"/>
        </w:rPr>
        <w:t xml:space="preserve">Salgını yönetme krizi devam etmektedir… </w:t>
      </w:r>
    </w:p>
    <w:p w14:paraId="6332932A" w14:textId="2B6D66A8" w:rsidR="004A2182" w:rsidRDefault="00F95B02" w:rsidP="0055173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65753" w:rsidRPr="00F95B02">
        <w:rPr>
          <w:sz w:val="24"/>
          <w:szCs w:val="24"/>
        </w:rPr>
        <w:t xml:space="preserve">aşta </w:t>
      </w:r>
      <w:r>
        <w:rPr>
          <w:sz w:val="24"/>
          <w:szCs w:val="24"/>
        </w:rPr>
        <w:t>gelir düzeyi düşük emeğiyle geçinen</w:t>
      </w:r>
      <w:r w:rsidR="004A2182">
        <w:rPr>
          <w:sz w:val="24"/>
          <w:szCs w:val="24"/>
        </w:rPr>
        <w:t xml:space="preserve"> ücretli nüfusun</w:t>
      </w:r>
      <w:r>
        <w:rPr>
          <w:sz w:val="24"/>
          <w:szCs w:val="24"/>
        </w:rPr>
        <w:t xml:space="preserve"> </w:t>
      </w:r>
      <w:r w:rsidR="004A2182">
        <w:rPr>
          <w:sz w:val="24"/>
          <w:szCs w:val="24"/>
        </w:rPr>
        <w:t xml:space="preserve">ve </w:t>
      </w:r>
      <w:proofErr w:type="spellStart"/>
      <w:r w:rsidR="004A2182">
        <w:rPr>
          <w:sz w:val="24"/>
          <w:szCs w:val="24"/>
        </w:rPr>
        <w:t>pandemi</w:t>
      </w:r>
      <w:proofErr w:type="spellEnd"/>
      <w:r w:rsidR="004A2182">
        <w:rPr>
          <w:sz w:val="24"/>
          <w:szCs w:val="24"/>
        </w:rPr>
        <w:t xml:space="preserve"> döneminde ekonomik ihtiyacı olan herkesin </w:t>
      </w:r>
      <w:r>
        <w:rPr>
          <w:sz w:val="24"/>
          <w:szCs w:val="24"/>
        </w:rPr>
        <w:t>korunması,</w:t>
      </w:r>
      <w:r w:rsidR="004A2182">
        <w:rPr>
          <w:sz w:val="24"/>
          <w:szCs w:val="24"/>
        </w:rPr>
        <w:t xml:space="preserve"> beslenme, barınma gibi temel ihtiyaçları yeterince karşılanması, sağlık hizmetlerinden ücretsiz yeterli ve iyi düzeyde faydalanması önemlidir. </w:t>
      </w:r>
    </w:p>
    <w:p w14:paraId="7AAEF667" w14:textId="2DDA4E22" w:rsidR="00F56A26" w:rsidRPr="00F95B02" w:rsidRDefault="7D710FDD" w:rsidP="0055173F">
      <w:pPr>
        <w:rPr>
          <w:sz w:val="24"/>
          <w:szCs w:val="24"/>
        </w:rPr>
      </w:pPr>
      <w:r w:rsidRPr="4B0E2DF7">
        <w:rPr>
          <w:sz w:val="24"/>
          <w:szCs w:val="24"/>
        </w:rPr>
        <w:t>Birinci basamak koruyucu sağlık hizmetlerinin güçlendirilmesi, sağlık</w:t>
      </w:r>
      <w:r w:rsidR="2F86C27C" w:rsidRPr="4B0E2DF7">
        <w:rPr>
          <w:sz w:val="24"/>
          <w:szCs w:val="24"/>
        </w:rPr>
        <w:t xml:space="preserve"> çalışanlarının çalışma koşullarının iyileştirilmesi, güvenli ortamda çalışması </w:t>
      </w:r>
      <w:r w:rsidR="608066D8" w:rsidRPr="4B0E2DF7">
        <w:rPr>
          <w:sz w:val="24"/>
          <w:szCs w:val="24"/>
        </w:rPr>
        <w:t>bir yaşam hakkına, can</w:t>
      </w:r>
      <w:r w:rsidRPr="4B0E2DF7">
        <w:rPr>
          <w:sz w:val="24"/>
          <w:szCs w:val="24"/>
        </w:rPr>
        <w:t xml:space="preserve"> güvencesine dönüşmüştür. </w:t>
      </w:r>
    </w:p>
    <w:sectPr w:rsidR="00F56A26" w:rsidRPr="00F95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931A" w14:textId="77777777" w:rsidR="00DD2902" w:rsidRDefault="00DD2902">
      <w:pPr>
        <w:spacing w:after="0" w:line="240" w:lineRule="auto"/>
      </w:pPr>
      <w:r>
        <w:separator/>
      </w:r>
    </w:p>
  </w:endnote>
  <w:endnote w:type="continuationSeparator" w:id="0">
    <w:p w14:paraId="02077866" w14:textId="77777777" w:rsidR="00DD2902" w:rsidRDefault="00DD2902">
      <w:pPr>
        <w:spacing w:after="0" w:line="240" w:lineRule="auto"/>
      </w:pPr>
      <w:r>
        <w:continuationSeparator/>
      </w:r>
    </w:p>
  </w:endnote>
  <w:endnote w:id="1">
    <w:p w14:paraId="7488B753" w14:textId="39D3312D" w:rsidR="47108F29" w:rsidRDefault="47108F29" w:rsidP="47108F29">
      <w:pPr>
        <w:pStyle w:val="DipnotMetni"/>
      </w:pPr>
      <w:r w:rsidRPr="47108F29">
        <w:rPr>
          <w:rStyle w:val="SonnotBavurusu"/>
          <w:rFonts w:ascii="Calibri" w:eastAsia="Calibri" w:hAnsi="Calibri" w:cs="Calibri"/>
        </w:rPr>
        <w:endnoteRef/>
      </w:r>
      <w:r w:rsidRPr="47108F29">
        <w:rPr>
          <w:rFonts w:ascii="Calibri" w:eastAsia="Calibri" w:hAnsi="Calibri" w:cs="Calibri"/>
        </w:rPr>
        <w:t xml:space="preserve"> TTB Aile Hekimliği Kolu </w:t>
      </w:r>
      <w:proofErr w:type="spellStart"/>
      <w:r w:rsidRPr="47108F29">
        <w:rPr>
          <w:rFonts w:ascii="Calibri" w:eastAsia="Calibri" w:hAnsi="Calibri" w:cs="Calibri"/>
        </w:rPr>
        <w:t>Pandemi</w:t>
      </w:r>
      <w:proofErr w:type="spellEnd"/>
      <w:r w:rsidRPr="47108F29">
        <w:rPr>
          <w:rFonts w:ascii="Calibri" w:eastAsia="Calibri" w:hAnsi="Calibri" w:cs="Calibri"/>
        </w:rPr>
        <w:t xml:space="preserve"> Anket Sonuçları (https://www.ttb.org.tr/kollar/_ahek/index.php).</w:t>
      </w:r>
    </w:p>
  </w:endnote>
  <w:endnote w:id="2">
    <w:p w14:paraId="180FFCAD" w14:textId="6A75BB10" w:rsidR="47108F29" w:rsidRDefault="47108F29" w:rsidP="47108F29">
      <w:pPr>
        <w:pStyle w:val="SonnotMetni"/>
      </w:pPr>
      <w:r w:rsidRPr="47108F29">
        <w:rPr>
          <w:rStyle w:val="SonnotBavurusu"/>
        </w:rPr>
        <w:endnoteRef/>
      </w:r>
      <w:r>
        <w:t xml:space="preserve"> TTB “Aile Hekimliği </w:t>
      </w:r>
      <w:proofErr w:type="spellStart"/>
      <w:r>
        <w:t>Pandemi</w:t>
      </w:r>
      <w:proofErr w:type="spellEnd"/>
      <w:r>
        <w:t xml:space="preserve"> Anketi Kasım 2020” Sonuçlarını Paylaştı (https://www.ttb.org.tr/kollar/_ahek/haber_goster.php?Guid=acbe1562-2b23-11eb-9fec-5d38005ac4c8)</w:t>
      </w:r>
    </w:p>
  </w:endnote>
  <w:endnote w:id="3">
    <w:p w14:paraId="05AAD970" w14:textId="2AB30166" w:rsidR="004F2667" w:rsidRDefault="004F2667">
      <w:pPr>
        <w:pStyle w:val="SonnotMetni"/>
      </w:pPr>
      <w:r>
        <w:rPr>
          <w:rStyle w:val="SonnotBavurusu"/>
        </w:rPr>
        <w:endnoteRef/>
      </w:r>
      <w:r w:rsidR="00183308">
        <w:t xml:space="preserve"> Halk Sağlığı Genel Müdürlüğü 4 Şubat 2020 Dünya Kanser Günü </w:t>
      </w:r>
      <w:r w:rsidR="00183308">
        <w:t>ba</w:t>
      </w:r>
      <w:bookmarkStart w:id="0" w:name="_GoBack"/>
      <w:bookmarkEnd w:id="0"/>
      <w:r w:rsidR="00183308">
        <w:t>sın açıklaması</w:t>
      </w:r>
      <w:r>
        <w:t xml:space="preserve"> </w:t>
      </w:r>
      <w:r w:rsidR="00183308" w:rsidRPr="00183308">
        <w:t>https://hsgm.saglik.gov.tr/tr/kanser-haber/4-subat-dunya-kanser-gunu-2020.html</w:t>
      </w:r>
    </w:p>
  </w:endnote>
  <w:endnote w:id="4">
    <w:p w14:paraId="00F126BA" w14:textId="71E5E9EE" w:rsidR="007421B7" w:rsidRDefault="007421B7">
      <w:pPr>
        <w:pStyle w:val="SonnotMetni"/>
      </w:pPr>
      <w:r>
        <w:rPr>
          <w:rStyle w:val="SonnotBavurusu"/>
        </w:rPr>
        <w:endnoteRef/>
      </w:r>
      <w:r>
        <w:t xml:space="preserve"> SGK Sağlık istatistikleri (Erişim 15 Aralık 2020) </w:t>
      </w:r>
      <w:r w:rsidRPr="007421B7">
        <w:t>http://www.sgk.gov.tr/wps/portal/sgk/tr/kurumsal/istatistik/aylik_istatistik_bilgileri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A92BA" w14:textId="77777777" w:rsidR="00DD2902" w:rsidRDefault="00DD2902">
      <w:pPr>
        <w:spacing w:after="0" w:line="240" w:lineRule="auto"/>
      </w:pPr>
      <w:r>
        <w:separator/>
      </w:r>
    </w:p>
  </w:footnote>
  <w:footnote w:type="continuationSeparator" w:id="0">
    <w:p w14:paraId="4CA9BCFC" w14:textId="77777777" w:rsidR="00DD2902" w:rsidRDefault="00DD2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7610"/>
    <w:multiLevelType w:val="hybridMultilevel"/>
    <w:tmpl w:val="9620C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90FA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2E2A68C">
      <w:start w:val="77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9A623"/>
    <w:rsid w:val="000505AF"/>
    <w:rsid w:val="00056E48"/>
    <w:rsid w:val="0007029B"/>
    <w:rsid w:val="0007154E"/>
    <w:rsid w:val="000777F5"/>
    <w:rsid w:val="000B5FA5"/>
    <w:rsid w:val="000C111B"/>
    <w:rsid w:val="000C3E9B"/>
    <w:rsid w:val="000F1A52"/>
    <w:rsid w:val="00123323"/>
    <w:rsid w:val="00175CE1"/>
    <w:rsid w:val="00183308"/>
    <w:rsid w:val="001F3FA4"/>
    <w:rsid w:val="0024791E"/>
    <w:rsid w:val="00270834"/>
    <w:rsid w:val="00275090"/>
    <w:rsid w:val="002C57FF"/>
    <w:rsid w:val="00331D9E"/>
    <w:rsid w:val="00332544"/>
    <w:rsid w:val="00385594"/>
    <w:rsid w:val="003E071D"/>
    <w:rsid w:val="00411270"/>
    <w:rsid w:val="0042088F"/>
    <w:rsid w:val="00434FBD"/>
    <w:rsid w:val="004640A5"/>
    <w:rsid w:val="004A2182"/>
    <w:rsid w:val="004F2667"/>
    <w:rsid w:val="0055173F"/>
    <w:rsid w:val="00632937"/>
    <w:rsid w:val="006754DF"/>
    <w:rsid w:val="006D33B2"/>
    <w:rsid w:val="006F540F"/>
    <w:rsid w:val="007010F6"/>
    <w:rsid w:val="007421B7"/>
    <w:rsid w:val="00742289"/>
    <w:rsid w:val="0076357A"/>
    <w:rsid w:val="007A5884"/>
    <w:rsid w:val="007D5745"/>
    <w:rsid w:val="007D5815"/>
    <w:rsid w:val="00826A83"/>
    <w:rsid w:val="00866F62"/>
    <w:rsid w:val="00874E67"/>
    <w:rsid w:val="009019A7"/>
    <w:rsid w:val="009822E6"/>
    <w:rsid w:val="00A148C5"/>
    <w:rsid w:val="00A22B4A"/>
    <w:rsid w:val="00A47413"/>
    <w:rsid w:val="00A71202"/>
    <w:rsid w:val="00AF63DB"/>
    <w:rsid w:val="00BA100F"/>
    <w:rsid w:val="00BA5A02"/>
    <w:rsid w:val="00BB1413"/>
    <w:rsid w:val="00BD25D4"/>
    <w:rsid w:val="00BE2C5A"/>
    <w:rsid w:val="00C40303"/>
    <w:rsid w:val="00C819DE"/>
    <w:rsid w:val="00C92EE5"/>
    <w:rsid w:val="00CA05BD"/>
    <w:rsid w:val="00CA0EBA"/>
    <w:rsid w:val="00CB0409"/>
    <w:rsid w:val="00CC42ED"/>
    <w:rsid w:val="00D444C6"/>
    <w:rsid w:val="00D54145"/>
    <w:rsid w:val="00D65753"/>
    <w:rsid w:val="00D65F0E"/>
    <w:rsid w:val="00DA40A7"/>
    <w:rsid w:val="00DB5431"/>
    <w:rsid w:val="00DC5895"/>
    <w:rsid w:val="00DD2902"/>
    <w:rsid w:val="00DE1F2A"/>
    <w:rsid w:val="00DF188E"/>
    <w:rsid w:val="00DF195E"/>
    <w:rsid w:val="00E15A78"/>
    <w:rsid w:val="00E2F5AB"/>
    <w:rsid w:val="00E857D9"/>
    <w:rsid w:val="00EA6AA9"/>
    <w:rsid w:val="00EC5638"/>
    <w:rsid w:val="00EE0060"/>
    <w:rsid w:val="00EF32E3"/>
    <w:rsid w:val="00F4552E"/>
    <w:rsid w:val="00F55DB5"/>
    <w:rsid w:val="00F56A26"/>
    <w:rsid w:val="00F61917"/>
    <w:rsid w:val="00F95B02"/>
    <w:rsid w:val="00FC4BA6"/>
    <w:rsid w:val="012CF143"/>
    <w:rsid w:val="01590E64"/>
    <w:rsid w:val="0176B4B9"/>
    <w:rsid w:val="018BD7E3"/>
    <w:rsid w:val="01CE606A"/>
    <w:rsid w:val="02ADF114"/>
    <w:rsid w:val="02CB6D18"/>
    <w:rsid w:val="03567DB6"/>
    <w:rsid w:val="03A65577"/>
    <w:rsid w:val="03CA0F1B"/>
    <w:rsid w:val="04095B96"/>
    <w:rsid w:val="04A43E08"/>
    <w:rsid w:val="04D3D932"/>
    <w:rsid w:val="0508FF6F"/>
    <w:rsid w:val="05648BCD"/>
    <w:rsid w:val="05698F2D"/>
    <w:rsid w:val="05A52BF7"/>
    <w:rsid w:val="05BFBD4D"/>
    <w:rsid w:val="05C8C8E1"/>
    <w:rsid w:val="05E0D1EE"/>
    <w:rsid w:val="064FC7DF"/>
    <w:rsid w:val="065E3BEB"/>
    <w:rsid w:val="068B9E14"/>
    <w:rsid w:val="06C3521E"/>
    <w:rsid w:val="06F26CBE"/>
    <w:rsid w:val="06F63DC0"/>
    <w:rsid w:val="073DD597"/>
    <w:rsid w:val="076B5F8C"/>
    <w:rsid w:val="07E4352D"/>
    <w:rsid w:val="083B6EE5"/>
    <w:rsid w:val="086875C2"/>
    <w:rsid w:val="088E3D1F"/>
    <w:rsid w:val="089F1A86"/>
    <w:rsid w:val="08B165B2"/>
    <w:rsid w:val="08D0273D"/>
    <w:rsid w:val="08D7579B"/>
    <w:rsid w:val="094682FF"/>
    <w:rsid w:val="09AF3D5B"/>
    <w:rsid w:val="0A2BA220"/>
    <w:rsid w:val="0A789D1A"/>
    <w:rsid w:val="0A880A43"/>
    <w:rsid w:val="0AAFE266"/>
    <w:rsid w:val="0AE6C84D"/>
    <w:rsid w:val="0B8CB9E6"/>
    <w:rsid w:val="0B998AD2"/>
    <w:rsid w:val="0BAFB731"/>
    <w:rsid w:val="0BF4E8EA"/>
    <w:rsid w:val="0C708D13"/>
    <w:rsid w:val="0C990168"/>
    <w:rsid w:val="0C9C5CAC"/>
    <w:rsid w:val="0CE1D7BD"/>
    <w:rsid w:val="0D009984"/>
    <w:rsid w:val="0D09CDAC"/>
    <w:rsid w:val="0D3293A2"/>
    <w:rsid w:val="0DA4B235"/>
    <w:rsid w:val="0DBD62D0"/>
    <w:rsid w:val="0DC27202"/>
    <w:rsid w:val="0DDAA110"/>
    <w:rsid w:val="0DE12BC0"/>
    <w:rsid w:val="0DE2B0DC"/>
    <w:rsid w:val="0E4ACB91"/>
    <w:rsid w:val="0FB39C1D"/>
    <w:rsid w:val="100B9B70"/>
    <w:rsid w:val="10C4E87E"/>
    <w:rsid w:val="110106FB"/>
    <w:rsid w:val="112006FF"/>
    <w:rsid w:val="114B1060"/>
    <w:rsid w:val="116E207A"/>
    <w:rsid w:val="11EA69BD"/>
    <w:rsid w:val="1262EC46"/>
    <w:rsid w:val="12C776FE"/>
    <w:rsid w:val="1320A422"/>
    <w:rsid w:val="137EBC6D"/>
    <w:rsid w:val="1388ACC9"/>
    <w:rsid w:val="13B72F4D"/>
    <w:rsid w:val="1478B257"/>
    <w:rsid w:val="147A0D70"/>
    <w:rsid w:val="15B1E85C"/>
    <w:rsid w:val="16134D0D"/>
    <w:rsid w:val="1623331B"/>
    <w:rsid w:val="163CA113"/>
    <w:rsid w:val="165CFC87"/>
    <w:rsid w:val="167E6DCF"/>
    <w:rsid w:val="16B4A7CE"/>
    <w:rsid w:val="16B65D2F"/>
    <w:rsid w:val="16BEDFE6"/>
    <w:rsid w:val="170B324C"/>
    <w:rsid w:val="17E1E6CC"/>
    <w:rsid w:val="1956FDA1"/>
    <w:rsid w:val="195A55E4"/>
    <w:rsid w:val="195A8476"/>
    <w:rsid w:val="19AE8E9B"/>
    <w:rsid w:val="19E15026"/>
    <w:rsid w:val="1A264746"/>
    <w:rsid w:val="1A8CBD7B"/>
    <w:rsid w:val="1AD288E3"/>
    <w:rsid w:val="1AE430CE"/>
    <w:rsid w:val="1BC7A621"/>
    <w:rsid w:val="1BD786AD"/>
    <w:rsid w:val="1C69B4C0"/>
    <w:rsid w:val="1C6E5944"/>
    <w:rsid w:val="1C71BA2A"/>
    <w:rsid w:val="1D40C9E6"/>
    <w:rsid w:val="1DD79C7D"/>
    <w:rsid w:val="1DFE0E15"/>
    <w:rsid w:val="1E106B0B"/>
    <w:rsid w:val="1E10F374"/>
    <w:rsid w:val="1E149E32"/>
    <w:rsid w:val="1E1C76C6"/>
    <w:rsid w:val="1EAE98F2"/>
    <w:rsid w:val="1F363C37"/>
    <w:rsid w:val="1F5D35CF"/>
    <w:rsid w:val="1F832FAD"/>
    <w:rsid w:val="1FE204FE"/>
    <w:rsid w:val="207174AD"/>
    <w:rsid w:val="20CDC8A3"/>
    <w:rsid w:val="20D01EF2"/>
    <w:rsid w:val="219DAF23"/>
    <w:rsid w:val="21B4A7C9"/>
    <w:rsid w:val="220AEDB8"/>
    <w:rsid w:val="22143B09"/>
    <w:rsid w:val="222F4EAE"/>
    <w:rsid w:val="2267F2DC"/>
    <w:rsid w:val="22751617"/>
    <w:rsid w:val="22E3DC2E"/>
    <w:rsid w:val="2341A7E6"/>
    <w:rsid w:val="23B132A6"/>
    <w:rsid w:val="2406862C"/>
    <w:rsid w:val="242F6720"/>
    <w:rsid w:val="24CBE027"/>
    <w:rsid w:val="24D507E1"/>
    <w:rsid w:val="25C364C9"/>
    <w:rsid w:val="26285CDC"/>
    <w:rsid w:val="263AEC4B"/>
    <w:rsid w:val="26CA3E9A"/>
    <w:rsid w:val="26D46E7F"/>
    <w:rsid w:val="26D7839F"/>
    <w:rsid w:val="277BF343"/>
    <w:rsid w:val="27940082"/>
    <w:rsid w:val="2823080E"/>
    <w:rsid w:val="28DAC8C0"/>
    <w:rsid w:val="294CDC4C"/>
    <w:rsid w:val="29A7B273"/>
    <w:rsid w:val="29DAC9D0"/>
    <w:rsid w:val="29F3F09A"/>
    <w:rsid w:val="2A547206"/>
    <w:rsid w:val="2AF50934"/>
    <w:rsid w:val="2B602910"/>
    <w:rsid w:val="2DAB3ED1"/>
    <w:rsid w:val="2EE566C0"/>
    <w:rsid w:val="2EFD5C57"/>
    <w:rsid w:val="2F804357"/>
    <w:rsid w:val="2F86C27C"/>
    <w:rsid w:val="2F929078"/>
    <w:rsid w:val="2F9B42EE"/>
    <w:rsid w:val="2FAAE2F9"/>
    <w:rsid w:val="2FB3D33C"/>
    <w:rsid w:val="2FE33298"/>
    <w:rsid w:val="300930CB"/>
    <w:rsid w:val="304516B3"/>
    <w:rsid w:val="318FA5D9"/>
    <w:rsid w:val="319B29DC"/>
    <w:rsid w:val="31AE8E95"/>
    <w:rsid w:val="31B06131"/>
    <w:rsid w:val="31EB5541"/>
    <w:rsid w:val="321923FC"/>
    <w:rsid w:val="322BB7FB"/>
    <w:rsid w:val="325625B1"/>
    <w:rsid w:val="32761458"/>
    <w:rsid w:val="328CC05C"/>
    <w:rsid w:val="32CA313A"/>
    <w:rsid w:val="330FA65B"/>
    <w:rsid w:val="342F13BD"/>
    <w:rsid w:val="346D3E49"/>
    <w:rsid w:val="347E541C"/>
    <w:rsid w:val="34977C79"/>
    <w:rsid w:val="34A1F106"/>
    <w:rsid w:val="3502E809"/>
    <w:rsid w:val="351AB88F"/>
    <w:rsid w:val="35571D02"/>
    <w:rsid w:val="35AA5862"/>
    <w:rsid w:val="361A247D"/>
    <w:rsid w:val="3669E0C2"/>
    <w:rsid w:val="36784F7A"/>
    <w:rsid w:val="36B9D1B8"/>
    <w:rsid w:val="378AD1E6"/>
    <w:rsid w:val="3796DA3F"/>
    <w:rsid w:val="37B2A3EC"/>
    <w:rsid w:val="37B700BD"/>
    <w:rsid w:val="38886580"/>
    <w:rsid w:val="39CF2A0F"/>
    <w:rsid w:val="39F2C337"/>
    <w:rsid w:val="39FF3B15"/>
    <w:rsid w:val="3AC195B0"/>
    <w:rsid w:val="3AC8E19C"/>
    <w:rsid w:val="3AD3D4AD"/>
    <w:rsid w:val="3B4F7837"/>
    <w:rsid w:val="3B50C762"/>
    <w:rsid w:val="3BE8A30E"/>
    <w:rsid w:val="3C64B1FD"/>
    <w:rsid w:val="3C840C10"/>
    <w:rsid w:val="3D064F4A"/>
    <w:rsid w:val="3E00825E"/>
    <w:rsid w:val="3E1BDB5C"/>
    <w:rsid w:val="3E35BD16"/>
    <w:rsid w:val="3E8F8891"/>
    <w:rsid w:val="3F23BDFD"/>
    <w:rsid w:val="3F6ABD6F"/>
    <w:rsid w:val="3FA702A2"/>
    <w:rsid w:val="3FE9519E"/>
    <w:rsid w:val="40048CD1"/>
    <w:rsid w:val="4035C073"/>
    <w:rsid w:val="4039372B"/>
    <w:rsid w:val="40A7FFD5"/>
    <w:rsid w:val="40B1540C"/>
    <w:rsid w:val="40BE4052"/>
    <w:rsid w:val="4123747F"/>
    <w:rsid w:val="41327B54"/>
    <w:rsid w:val="4152C6EA"/>
    <w:rsid w:val="41C0E442"/>
    <w:rsid w:val="422DD83D"/>
    <w:rsid w:val="4237354C"/>
    <w:rsid w:val="4309E25C"/>
    <w:rsid w:val="43230AB9"/>
    <w:rsid w:val="43B9DD50"/>
    <w:rsid w:val="43CB1827"/>
    <w:rsid w:val="43E0DED1"/>
    <w:rsid w:val="44B6F7F0"/>
    <w:rsid w:val="44D83FE5"/>
    <w:rsid w:val="44FFE376"/>
    <w:rsid w:val="451FAADF"/>
    <w:rsid w:val="45513055"/>
    <w:rsid w:val="4599A623"/>
    <w:rsid w:val="46362B61"/>
    <w:rsid w:val="463D69E3"/>
    <w:rsid w:val="46743C92"/>
    <w:rsid w:val="468A4B6B"/>
    <w:rsid w:val="469BB3D7"/>
    <w:rsid w:val="4702B8E9"/>
    <w:rsid w:val="47108F29"/>
    <w:rsid w:val="471AD81B"/>
    <w:rsid w:val="47240B3A"/>
    <w:rsid w:val="475D766B"/>
    <w:rsid w:val="47B1292C"/>
    <w:rsid w:val="47F67BDC"/>
    <w:rsid w:val="486A999F"/>
    <w:rsid w:val="488924AB"/>
    <w:rsid w:val="489E894A"/>
    <w:rsid w:val="49003434"/>
    <w:rsid w:val="49414E3A"/>
    <w:rsid w:val="4947CA12"/>
    <w:rsid w:val="49725D96"/>
    <w:rsid w:val="49B39E8E"/>
    <w:rsid w:val="4A3F0DF5"/>
    <w:rsid w:val="4A6DF91D"/>
    <w:rsid w:val="4AD95396"/>
    <w:rsid w:val="4B0E2DF7"/>
    <w:rsid w:val="4B532380"/>
    <w:rsid w:val="4BBAA7AE"/>
    <w:rsid w:val="4C13A88D"/>
    <w:rsid w:val="4C32C367"/>
    <w:rsid w:val="4C8FA93F"/>
    <w:rsid w:val="4D190D5D"/>
    <w:rsid w:val="4D462241"/>
    <w:rsid w:val="4D76AEB7"/>
    <w:rsid w:val="4DD4ADA8"/>
    <w:rsid w:val="4E14CBC9"/>
    <w:rsid w:val="4F00DBB6"/>
    <w:rsid w:val="4F2B8CC9"/>
    <w:rsid w:val="4F7CC467"/>
    <w:rsid w:val="504B3B46"/>
    <w:rsid w:val="50B188B5"/>
    <w:rsid w:val="52179BDF"/>
    <w:rsid w:val="525C77E5"/>
    <w:rsid w:val="5266BDE1"/>
    <w:rsid w:val="526CAEB7"/>
    <w:rsid w:val="526CFF47"/>
    <w:rsid w:val="527FE827"/>
    <w:rsid w:val="528AC1EC"/>
    <w:rsid w:val="52C999F8"/>
    <w:rsid w:val="53392E83"/>
    <w:rsid w:val="536A1824"/>
    <w:rsid w:val="54098192"/>
    <w:rsid w:val="54B12982"/>
    <w:rsid w:val="54FB7D3D"/>
    <w:rsid w:val="555F791A"/>
    <w:rsid w:val="56B599B1"/>
    <w:rsid w:val="56F16617"/>
    <w:rsid w:val="57143388"/>
    <w:rsid w:val="571CCC34"/>
    <w:rsid w:val="57F37749"/>
    <w:rsid w:val="57F49E85"/>
    <w:rsid w:val="57F73B07"/>
    <w:rsid w:val="581AE117"/>
    <w:rsid w:val="58533C37"/>
    <w:rsid w:val="58559588"/>
    <w:rsid w:val="58622CCD"/>
    <w:rsid w:val="58A49939"/>
    <w:rsid w:val="58FFFBCA"/>
    <w:rsid w:val="59014EC6"/>
    <w:rsid w:val="59774689"/>
    <w:rsid w:val="59E9A27F"/>
    <w:rsid w:val="5A1B9992"/>
    <w:rsid w:val="5A5EE8CF"/>
    <w:rsid w:val="5A7C264C"/>
    <w:rsid w:val="5AE25554"/>
    <w:rsid w:val="5AEF4EBE"/>
    <w:rsid w:val="5B19DD34"/>
    <w:rsid w:val="5B2C3F47"/>
    <w:rsid w:val="5B359524"/>
    <w:rsid w:val="5C5DD151"/>
    <w:rsid w:val="5C85E711"/>
    <w:rsid w:val="5CB8B995"/>
    <w:rsid w:val="5CCED5F2"/>
    <w:rsid w:val="5DE8CF62"/>
    <w:rsid w:val="5E0F2C1D"/>
    <w:rsid w:val="5E4F7B20"/>
    <w:rsid w:val="5EE57678"/>
    <w:rsid w:val="5F03C696"/>
    <w:rsid w:val="5F921476"/>
    <w:rsid w:val="5FB74B85"/>
    <w:rsid w:val="607D2264"/>
    <w:rsid w:val="608066D8"/>
    <w:rsid w:val="608C5E72"/>
    <w:rsid w:val="60D741BF"/>
    <w:rsid w:val="6182586E"/>
    <w:rsid w:val="61C1ED46"/>
    <w:rsid w:val="61D2B243"/>
    <w:rsid w:val="62323F67"/>
    <w:rsid w:val="627CE1AB"/>
    <w:rsid w:val="62AE9E0F"/>
    <w:rsid w:val="62E54EC9"/>
    <w:rsid w:val="63C5F903"/>
    <w:rsid w:val="6412F1AD"/>
    <w:rsid w:val="6420DE30"/>
    <w:rsid w:val="642D832B"/>
    <w:rsid w:val="646FD3F1"/>
    <w:rsid w:val="64825BF7"/>
    <w:rsid w:val="65048779"/>
    <w:rsid w:val="653714A1"/>
    <w:rsid w:val="65920A57"/>
    <w:rsid w:val="65EFB2A1"/>
    <w:rsid w:val="65F7C6B8"/>
    <w:rsid w:val="66136F24"/>
    <w:rsid w:val="66919D1C"/>
    <w:rsid w:val="671A63F3"/>
    <w:rsid w:val="6757E8D8"/>
    <w:rsid w:val="67C2697B"/>
    <w:rsid w:val="67E44B50"/>
    <w:rsid w:val="67FEF10A"/>
    <w:rsid w:val="68004DC2"/>
    <w:rsid w:val="6830D2EF"/>
    <w:rsid w:val="68790805"/>
    <w:rsid w:val="68CE939D"/>
    <w:rsid w:val="69D90AE6"/>
    <w:rsid w:val="69E5D4A6"/>
    <w:rsid w:val="6AB60076"/>
    <w:rsid w:val="6AEED16A"/>
    <w:rsid w:val="6B067C15"/>
    <w:rsid w:val="6B7BB683"/>
    <w:rsid w:val="6BAF8CD4"/>
    <w:rsid w:val="6BD563B5"/>
    <w:rsid w:val="6C54D5A0"/>
    <w:rsid w:val="6C62D7E7"/>
    <w:rsid w:val="6C732AC9"/>
    <w:rsid w:val="6D049FED"/>
    <w:rsid w:val="6D0C41C0"/>
    <w:rsid w:val="6D235CB3"/>
    <w:rsid w:val="6D7D98DB"/>
    <w:rsid w:val="6DA8FF8A"/>
    <w:rsid w:val="6E80CA1D"/>
    <w:rsid w:val="6E8984EE"/>
    <w:rsid w:val="6EF71328"/>
    <w:rsid w:val="6F059A78"/>
    <w:rsid w:val="6F2561E1"/>
    <w:rsid w:val="6F5B64B3"/>
    <w:rsid w:val="6F852966"/>
    <w:rsid w:val="6FF24BAF"/>
    <w:rsid w:val="7004995D"/>
    <w:rsid w:val="700BB57A"/>
    <w:rsid w:val="700C71F1"/>
    <w:rsid w:val="701AA3FA"/>
    <w:rsid w:val="70480789"/>
    <w:rsid w:val="717CFACF"/>
    <w:rsid w:val="71A069BE"/>
    <w:rsid w:val="71EB45D4"/>
    <w:rsid w:val="72163A7A"/>
    <w:rsid w:val="72296461"/>
    <w:rsid w:val="72AD062E"/>
    <w:rsid w:val="73031BF0"/>
    <w:rsid w:val="733836F5"/>
    <w:rsid w:val="7346E3EF"/>
    <w:rsid w:val="73AEF5C8"/>
    <w:rsid w:val="73DFAAA7"/>
    <w:rsid w:val="74687FC0"/>
    <w:rsid w:val="74864A22"/>
    <w:rsid w:val="749EEC51"/>
    <w:rsid w:val="74A1C4D2"/>
    <w:rsid w:val="74DE1CAC"/>
    <w:rsid w:val="758DDA38"/>
    <w:rsid w:val="75E83804"/>
    <w:rsid w:val="76045021"/>
    <w:rsid w:val="7710FEA9"/>
    <w:rsid w:val="773201F5"/>
    <w:rsid w:val="7740E165"/>
    <w:rsid w:val="77C1C0EF"/>
    <w:rsid w:val="77E22894"/>
    <w:rsid w:val="78101171"/>
    <w:rsid w:val="782A8BC4"/>
    <w:rsid w:val="78A28631"/>
    <w:rsid w:val="78B72553"/>
    <w:rsid w:val="78E504E9"/>
    <w:rsid w:val="78F84162"/>
    <w:rsid w:val="7900C99E"/>
    <w:rsid w:val="7929CA40"/>
    <w:rsid w:val="795AFDF1"/>
    <w:rsid w:val="7978B9DE"/>
    <w:rsid w:val="79F3C46A"/>
    <w:rsid w:val="7A271067"/>
    <w:rsid w:val="7A9E175A"/>
    <w:rsid w:val="7B20EAB5"/>
    <w:rsid w:val="7C068354"/>
    <w:rsid w:val="7C0CDD52"/>
    <w:rsid w:val="7C5C3354"/>
    <w:rsid w:val="7D0B3716"/>
    <w:rsid w:val="7D710FDD"/>
    <w:rsid w:val="7D9DEEE2"/>
    <w:rsid w:val="7E5A49B6"/>
    <w:rsid w:val="7E60F258"/>
    <w:rsid w:val="7E899696"/>
    <w:rsid w:val="7ED5A245"/>
    <w:rsid w:val="7EDE8266"/>
    <w:rsid w:val="7F16FBE2"/>
    <w:rsid w:val="7F39918A"/>
    <w:rsid w:val="7F449291"/>
    <w:rsid w:val="7F490400"/>
    <w:rsid w:val="7F7B7C2E"/>
    <w:rsid w:val="7FBCF4B2"/>
    <w:rsid w:val="7FE49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A623"/>
  <w15:docId w15:val="{90E79085-C55F-4E90-9413-81E0D58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sz w:val="20"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table" w:customStyle="1" w:styleId="DzTablo51">
    <w:name w:val="Düz Tablo 51"/>
    <w:basedOn w:val="NormalTablo"/>
    <w:uiPriority w:val="45"/>
    <w:rsid w:val="00DC58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uiPriority w:val="43"/>
    <w:rsid w:val="00DC58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E2C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7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covidttb\pcranket\kas&#305;manket%20tablol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covidttb\pcranket\kas&#305;manket%20tablol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covidttb\pcranket\kas&#305;manket%20tablola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covidttb\pcranket\kas&#305;manket%20tablol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Covid</a:t>
            </a:r>
            <a:r>
              <a:rPr lang="tr-TR"/>
              <a:t> Geçirilen</a:t>
            </a:r>
            <a:r>
              <a:rPr lang="en-US"/>
              <a:t> </a:t>
            </a:r>
            <a:r>
              <a:rPr lang="en-US" sz="1600" b="1" i="0" u="none" strike="noStrike" baseline="0">
                <a:effectLst/>
              </a:rPr>
              <a:t>ASM </a:t>
            </a:r>
            <a:r>
              <a:rPr lang="en-US"/>
              <a:t>Oranı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'[kasımanket tablolar.xlsx]Sayfa1'!$D$4</c:f>
              <c:strCache>
                <c:ptCount val="1"/>
                <c:pt idx="0">
                  <c:v>Covid geçiren var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'[kasımanket tablolar.xlsx]Sayfa1'!$C$5:$C$8</c:f>
              <c:strCache>
                <c:ptCount val="4"/>
                <c:pt idx="0">
                  <c:v>Eylül</c:v>
                </c:pt>
                <c:pt idx="1">
                  <c:v>Ekim</c:v>
                </c:pt>
                <c:pt idx="2">
                  <c:v>Kasım</c:v>
                </c:pt>
                <c:pt idx="3">
                  <c:v>Aralık</c:v>
                </c:pt>
              </c:strCache>
            </c:strRef>
          </c:cat>
          <c:val>
            <c:numRef>
              <c:f>'[kasımanket tablolar.xlsx]Sayfa1'!$D$5:$D$8</c:f>
              <c:numCache>
                <c:formatCode>0%</c:formatCode>
                <c:ptCount val="4"/>
                <c:pt idx="0">
                  <c:v>0.41</c:v>
                </c:pt>
                <c:pt idx="1">
                  <c:v>0.41</c:v>
                </c:pt>
                <c:pt idx="2">
                  <c:v>0.49</c:v>
                </c:pt>
                <c:pt idx="3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63-4396-A2A4-FD9F6E3312FD}"/>
            </c:ext>
          </c:extLst>
        </c:ser>
        <c:ser>
          <c:idx val="1"/>
          <c:order val="1"/>
          <c:tx>
            <c:strRef>
              <c:f>'[kasımanket tablolar.xlsx]Sayfa1'!$E$4</c:f>
              <c:strCache>
                <c:ptCount val="1"/>
                <c:pt idx="0">
                  <c:v>Covid geçiren yok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'[kasımanket tablolar.xlsx]Sayfa1'!$C$5:$C$8</c:f>
              <c:strCache>
                <c:ptCount val="4"/>
                <c:pt idx="0">
                  <c:v>Eylül</c:v>
                </c:pt>
                <c:pt idx="1">
                  <c:v>Ekim</c:v>
                </c:pt>
                <c:pt idx="2">
                  <c:v>Kasım</c:v>
                </c:pt>
                <c:pt idx="3">
                  <c:v>Aralık</c:v>
                </c:pt>
              </c:strCache>
            </c:strRef>
          </c:cat>
          <c:val>
            <c:numRef>
              <c:f>'[kasımanket tablolar.xlsx]Sayfa1'!$E$5:$E$8</c:f>
              <c:numCache>
                <c:formatCode>0%</c:formatCode>
                <c:ptCount val="4"/>
                <c:pt idx="0">
                  <c:v>0.59</c:v>
                </c:pt>
                <c:pt idx="1">
                  <c:v>0.59</c:v>
                </c:pt>
                <c:pt idx="2">
                  <c:v>0.51</c:v>
                </c:pt>
                <c:pt idx="3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63-4396-A2A4-FD9F6E3312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3471232"/>
        <c:axId val="153477120"/>
        <c:axId val="0"/>
      </c:bar3DChart>
      <c:catAx>
        <c:axId val="15347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3477120"/>
        <c:crosses val="autoZero"/>
        <c:auto val="1"/>
        <c:lblAlgn val="ctr"/>
        <c:lblOffset val="100"/>
        <c:noMultiLvlLbl val="0"/>
      </c:catAx>
      <c:valAx>
        <c:axId val="15347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347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Kanser Tarama Sayılarında Değişim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'[kasımanket tablolar.xlsx]Sayfa1'!$J$103</c:f>
              <c:strCache>
                <c:ptCount val="1"/>
                <c:pt idx="0">
                  <c:v>Arttı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'[kasımanket tablolar.xlsx]Sayfa1'!$K$101:$M$102</c:f>
              <c:strCache>
                <c:ptCount val="3"/>
                <c:pt idx="0">
                  <c:v>Kolon Kanseri</c:v>
                </c:pt>
                <c:pt idx="1">
                  <c:v>Meme Kanseri</c:v>
                </c:pt>
                <c:pt idx="2">
                  <c:v>Rahim Ağzı Kanseri</c:v>
                </c:pt>
              </c:strCache>
            </c:strRef>
          </c:cat>
          <c:val>
            <c:numRef>
              <c:f>'[kasımanket tablolar.xlsx]Sayfa1'!$K$103:$M$103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DA-4E04-8D2E-41EEF01D796E}"/>
            </c:ext>
          </c:extLst>
        </c:ser>
        <c:ser>
          <c:idx val="1"/>
          <c:order val="1"/>
          <c:tx>
            <c:strRef>
              <c:f>'[kasımanket tablolar.xlsx]Sayfa1'!$J$104</c:f>
              <c:strCache>
                <c:ptCount val="1"/>
                <c:pt idx="0">
                  <c:v>Değişmedi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'[kasımanket tablolar.xlsx]Sayfa1'!$K$101:$M$102</c:f>
              <c:strCache>
                <c:ptCount val="3"/>
                <c:pt idx="0">
                  <c:v>Kolon Kanseri</c:v>
                </c:pt>
                <c:pt idx="1">
                  <c:v>Meme Kanseri</c:v>
                </c:pt>
                <c:pt idx="2">
                  <c:v>Rahim Ağzı Kanseri</c:v>
                </c:pt>
              </c:strCache>
            </c:strRef>
          </c:cat>
          <c:val>
            <c:numRef>
              <c:f>'[kasımanket tablolar.xlsx]Sayfa1'!$K$104:$M$104</c:f>
              <c:numCache>
                <c:formatCode>General</c:formatCode>
                <c:ptCount val="3"/>
                <c:pt idx="0">
                  <c:v>98</c:v>
                </c:pt>
                <c:pt idx="1">
                  <c:v>85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DA-4E04-8D2E-41EEF01D796E}"/>
            </c:ext>
          </c:extLst>
        </c:ser>
        <c:ser>
          <c:idx val="2"/>
          <c:order val="2"/>
          <c:tx>
            <c:strRef>
              <c:f>'[kasımanket tablolar.xlsx]Sayfa1'!$J$105</c:f>
              <c:strCache>
                <c:ptCount val="1"/>
                <c:pt idx="0">
                  <c:v>Azaldı</c:v>
                </c:pt>
              </c:strCache>
            </c:strRef>
          </c:tx>
          <c:spPr>
            <a:solidFill>
              <a:srgbClr val="FF0000">
                <a:alpha val="85000"/>
              </a:srgb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'[kasımanket tablolar.xlsx]Sayfa1'!$K$101:$M$102</c:f>
              <c:strCache>
                <c:ptCount val="3"/>
                <c:pt idx="0">
                  <c:v>Kolon Kanseri</c:v>
                </c:pt>
                <c:pt idx="1">
                  <c:v>Meme Kanseri</c:v>
                </c:pt>
                <c:pt idx="2">
                  <c:v>Rahim Ağzı Kanseri</c:v>
                </c:pt>
              </c:strCache>
            </c:strRef>
          </c:cat>
          <c:val>
            <c:numRef>
              <c:f>'[kasımanket tablolar.xlsx]Sayfa1'!$K$105:$M$105</c:f>
              <c:numCache>
                <c:formatCode>General</c:formatCode>
                <c:ptCount val="3"/>
                <c:pt idx="0">
                  <c:v>1397</c:v>
                </c:pt>
                <c:pt idx="1">
                  <c:v>1398</c:v>
                </c:pt>
                <c:pt idx="2">
                  <c:v>1395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DA-4E04-8D2E-41EEF01D7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33856000"/>
        <c:axId val="233857792"/>
        <c:axId val="0"/>
      </c:bar3DChart>
      <c:catAx>
        <c:axId val="23385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33857792"/>
        <c:crosses val="autoZero"/>
        <c:auto val="1"/>
        <c:lblAlgn val="ctr"/>
        <c:lblOffset val="100"/>
        <c:noMultiLvlLbl val="0"/>
      </c:catAx>
      <c:valAx>
        <c:axId val="23385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3385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ERKEN</a:t>
            </a:r>
            <a:r>
              <a:rPr lang="tr-TR" baseline="0"/>
              <a:t> tANI</a:t>
            </a:r>
            <a:endParaRPr lang="tr-TR"/>
          </a:p>
        </c:rich>
      </c:tx>
      <c:layout>
        <c:manualLayout>
          <c:xMode val="edge"/>
          <c:yMode val="edge"/>
          <c:x val="0"/>
          <c:y val="6.451612903225806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722222222222224E-2"/>
          <c:y val="0.17034840403014137"/>
          <c:w val="0.94105339105339103"/>
          <c:h val="0.761518076369486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FA0C-4025-8114-8AFF5AE89A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FA0C-4025-8114-8AFF5AE89AC3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FA0C-4025-8114-8AFF5AE89AC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A0C-4025-8114-8AFF5AE89AC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FA0C-4025-8114-8AFF5AE89AC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FA0C-4025-8114-8AFF5AE89AC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'[kasımanket tablolar.xlsx]Sayfa1'!$D$119:$D$121</c:f>
              <c:strCache>
                <c:ptCount val="3"/>
                <c:pt idx="0">
                  <c:v>Arttı</c:v>
                </c:pt>
                <c:pt idx="1">
                  <c:v>Değişmedi</c:v>
                </c:pt>
                <c:pt idx="2">
                  <c:v>Azaldı</c:v>
                </c:pt>
              </c:strCache>
            </c:strRef>
          </c:cat>
          <c:val>
            <c:numRef>
              <c:f>'[kasımanket tablolar.xlsx]Sayfa1'!$E$119:$E$121</c:f>
              <c:numCache>
                <c:formatCode>General</c:formatCode>
                <c:ptCount val="3"/>
                <c:pt idx="0">
                  <c:v>7</c:v>
                </c:pt>
                <c:pt idx="1">
                  <c:v>179</c:v>
                </c:pt>
                <c:pt idx="2">
                  <c:v>1310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A0C-4025-8114-8AFF5AE89AC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Hastane Başvurularında Değişim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'[kasımanket tablolar.xlsx]Sayfa1'!$B$100:$B$101</c:f>
              <c:strCache>
                <c:ptCount val="2"/>
                <c:pt idx="0">
                  <c:v>Devlet 2</c:v>
                </c:pt>
                <c:pt idx="1">
                  <c:v>2019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'[kasımanket tablolar.xlsx]Sayfa1'!$A$102:$A$109</c:f>
              <c:strCache>
                <c:ptCount val="8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</c:strCache>
            </c:strRef>
          </c:cat>
          <c:val>
            <c:numRef>
              <c:f>'[kasımanket tablolar.xlsx]Sayfa1'!$B$102:$B$109</c:f>
              <c:numCache>
                <c:formatCode>General</c:formatCode>
                <c:ptCount val="8"/>
                <c:pt idx="0">
                  <c:v>29085.706999999999</c:v>
                </c:pt>
                <c:pt idx="1">
                  <c:v>26249.085999999999</c:v>
                </c:pt>
                <c:pt idx="2">
                  <c:v>26904.965999999993</c:v>
                </c:pt>
                <c:pt idx="3">
                  <c:v>26834.859</c:v>
                </c:pt>
                <c:pt idx="4">
                  <c:v>25424.323</c:v>
                </c:pt>
                <c:pt idx="5">
                  <c:v>23915.797999999999</c:v>
                </c:pt>
                <c:pt idx="6">
                  <c:v>25486.163</c:v>
                </c:pt>
                <c:pt idx="7">
                  <c:v>24542.694000000003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F-48A2-AD3C-AA132241CC4F}"/>
            </c:ext>
          </c:extLst>
        </c:ser>
        <c:ser>
          <c:idx val="1"/>
          <c:order val="1"/>
          <c:tx>
            <c:strRef>
              <c:f>'[kasımanket tablolar.xlsx]Sayfa1'!$C$100:$C$101</c:f>
              <c:strCache>
                <c:ptCount val="2"/>
                <c:pt idx="0">
                  <c:v>Devlet 2</c:v>
                </c:pt>
                <c:pt idx="1">
                  <c:v>2020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'[kasımanket tablolar.xlsx]Sayfa1'!$A$102:$A$109</c:f>
              <c:strCache>
                <c:ptCount val="8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</c:strCache>
            </c:strRef>
          </c:cat>
          <c:val>
            <c:numRef>
              <c:f>'[kasımanket tablolar.xlsx]Sayfa1'!$C$102:$C$109</c:f>
              <c:numCache>
                <c:formatCode>General</c:formatCode>
                <c:ptCount val="8"/>
                <c:pt idx="0">
                  <c:v>30369.028000000002</c:v>
                </c:pt>
                <c:pt idx="1">
                  <c:v>26781.841</c:v>
                </c:pt>
                <c:pt idx="2">
                  <c:v>19390.721000000001</c:v>
                </c:pt>
                <c:pt idx="3">
                  <c:v>8252.1990000000005</c:v>
                </c:pt>
                <c:pt idx="4">
                  <c:v>6702.9620000000004</c:v>
                </c:pt>
                <c:pt idx="5">
                  <c:v>12344</c:v>
                </c:pt>
                <c:pt idx="6">
                  <c:v>14490.589999999998</c:v>
                </c:pt>
                <c:pt idx="7">
                  <c:v>13699.501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8F-48A2-AD3C-AA132241CC4F}"/>
            </c:ext>
          </c:extLst>
        </c:ser>
        <c:ser>
          <c:idx val="2"/>
          <c:order val="2"/>
          <c:tx>
            <c:strRef>
              <c:f>'[kasımanket tablolar.xlsx]Sayfa1'!$D$100:$D$101</c:f>
              <c:strCache>
                <c:ptCount val="2"/>
                <c:pt idx="0">
                  <c:v>Devlet 3</c:v>
                </c:pt>
                <c:pt idx="1">
                  <c:v>2019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'[kasımanket tablolar.xlsx]Sayfa1'!$A$102:$A$109</c:f>
              <c:strCache>
                <c:ptCount val="8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</c:strCache>
            </c:strRef>
          </c:cat>
          <c:val>
            <c:numRef>
              <c:f>'[kasımanket tablolar.xlsx]Sayfa1'!$D$102:$D$109</c:f>
              <c:numCache>
                <c:formatCode>General</c:formatCode>
                <c:ptCount val="8"/>
                <c:pt idx="0">
                  <c:v>12201.737999999999</c:v>
                </c:pt>
                <c:pt idx="1">
                  <c:v>11246.775</c:v>
                </c:pt>
                <c:pt idx="2">
                  <c:v>11593.402</c:v>
                </c:pt>
                <c:pt idx="3">
                  <c:v>10735.277</c:v>
                </c:pt>
                <c:pt idx="4">
                  <c:v>11226.182999999999</c:v>
                </c:pt>
                <c:pt idx="5">
                  <c:v>10231.006000000001</c:v>
                </c:pt>
                <c:pt idx="6">
                  <c:v>10744.476000000001</c:v>
                </c:pt>
                <c:pt idx="7">
                  <c:v>10531.562999999998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8F-48A2-AD3C-AA132241CC4F}"/>
            </c:ext>
          </c:extLst>
        </c:ser>
        <c:ser>
          <c:idx val="3"/>
          <c:order val="3"/>
          <c:tx>
            <c:strRef>
              <c:f>'[kasımanket tablolar.xlsx]Sayfa1'!$E$100:$E$101</c:f>
              <c:strCache>
                <c:ptCount val="2"/>
                <c:pt idx="0">
                  <c:v>Devlet 3</c:v>
                </c:pt>
                <c:pt idx="1">
                  <c:v>2020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'[kasımanket tablolar.xlsx]Sayfa1'!$A$102:$A$109</c:f>
              <c:strCache>
                <c:ptCount val="8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</c:strCache>
            </c:strRef>
          </c:cat>
          <c:val>
            <c:numRef>
              <c:f>'[kasımanket tablolar.xlsx]Sayfa1'!$E$102:$E$109</c:f>
              <c:numCache>
                <c:formatCode>General</c:formatCode>
                <c:ptCount val="8"/>
                <c:pt idx="0">
                  <c:v>12893.039000000001</c:v>
                </c:pt>
                <c:pt idx="1">
                  <c:v>12272.929</c:v>
                </c:pt>
                <c:pt idx="2">
                  <c:v>8308.1020000000008</c:v>
                </c:pt>
                <c:pt idx="3">
                  <c:v>4464.5670000000009</c:v>
                </c:pt>
                <c:pt idx="4">
                  <c:v>3746.5990000000002</c:v>
                </c:pt>
                <c:pt idx="5">
                  <c:v>5530</c:v>
                </c:pt>
                <c:pt idx="6">
                  <c:v>6687.5039999999999</c:v>
                </c:pt>
                <c:pt idx="7">
                  <c:v>7234.4960000000001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8F-48A2-AD3C-AA132241CC4F}"/>
            </c:ext>
          </c:extLst>
        </c:ser>
        <c:ser>
          <c:idx val="4"/>
          <c:order val="4"/>
          <c:tx>
            <c:strRef>
              <c:f>'[kasımanket tablolar.xlsx]Sayfa1'!$F$100:$F$101</c:f>
              <c:strCache>
                <c:ptCount val="2"/>
                <c:pt idx="0">
                  <c:v>Özel</c:v>
                </c:pt>
                <c:pt idx="1">
                  <c:v>2019</c:v>
                </c:pt>
              </c:strCache>
            </c:strRef>
          </c:tx>
          <c:spPr>
            <a:solidFill>
              <a:srgbClr val="C00000"/>
            </a:soli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'[kasımanket tablolar.xlsx]Sayfa1'!$A$102:$A$109</c:f>
              <c:strCache>
                <c:ptCount val="8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</c:strCache>
            </c:strRef>
          </c:cat>
          <c:val>
            <c:numRef>
              <c:f>'[kasımanket tablolar.xlsx]Sayfa1'!$F$102:$F$109</c:f>
              <c:numCache>
                <c:formatCode>General</c:formatCode>
                <c:ptCount val="8"/>
                <c:pt idx="0">
                  <c:v>7864.942</c:v>
                </c:pt>
                <c:pt idx="1">
                  <c:v>6364.8540000000012</c:v>
                </c:pt>
                <c:pt idx="2">
                  <c:v>6809.3059999999996</c:v>
                </c:pt>
                <c:pt idx="3">
                  <c:v>6613.0199999999995</c:v>
                </c:pt>
                <c:pt idx="4">
                  <c:v>6441.9370000000008</c:v>
                </c:pt>
                <c:pt idx="5">
                  <c:v>5559.45</c:v>
                </c:pt>
                <c:pt idx="6">
                  <c:v>6144.0309999999999</c:v>
                </c:pt>
                <c:pt idx="7">
                  <c:v>5628.5280000000002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8F-48A2-AD3C-AA132241CC4F}"/>
            </c:ext>
          </c:extLst>
        </c:ser>
        <c:ser>
          <c:idx val="5"/>
          <c:order val="5"/>
          <c:tx>
            <c:strRef>
              <c:f>'[kasımanket tablolar.xlsx]Sayfa1'!$G$100:$G$101</c:f>
              <c:strCache>
                <c:ptCount val="2"/>
                <c:pt idx="0">
                  <c:v>Özel</c:v>
                </c:pt>
                <c:pt idx="1">
                  <c:v>2020</c:v>
                </c:pt>
              </c:strCache>
            </c:strRef>
          </c:tx>
          <c:spPr>
            <a:solidFill>
              <a:srgbClr val="C00000"/>
            </a:soli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'[kasımanket tablolar.xlsx]Sayfa1'!$A$102:$A$109</c:f>
              <c:strCache>
                <c:ptCount val="8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</c:strCache>
            </c:strRef>
          </c:cat>
          <c:val>
            <c:numRef>
              <c:f>'[kasımanket tablolar.xlsx]Sayfa1'!$G$102:$G$109</c:f>
              <c:numCache>
                <c:formatCode>General</c:formatCode>
                <c:ptCount val="8"/>
                <c:pt idx="0">
                  <c:v>7768.0770000000002</c:v>
                </c:pt>
                <c:pt idx="1">
                  <c:v>6407.4250000000002</c:v>
                </c:pt>
                <c:pt idx="2">
                  <c:v>5704.134</c:v>
                </c:pt>
                <c:pt idx="3">
                  <c:v>2993.2179999999998</c:v>
                </c:pt>
                <c:pt idx="4">
                  <c:v>3513.0990000000002</c:v>
                </c:pt>
                <c:pt idx="5">
                  <c:v>5063</c:v>
                </c:pt>
                <c:pt idx="6">
                  <c:v>5402.3440000000001</c:v>
                </c:pt>
                <c:pt idx="7">
                  <c:v>5729.585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08F-48A2-AD3C-AA132241CC4F}"/>
            </c:ext>
          </c:extLst>
        </c:ser>
        <c:ser>
          <c:idx val="6"/>
          <c:order val="6"/>
          <c:tx>
            <c:strRef>
              <c:f>'[kasımanket tablolar.xlsx]Sayfa1'!$H$100:$H$101</c:f>
              <c:strCache>
                <c:ptCount val="2"/>
                <c:pt idx="0">
                  <c:v>Üniversite</c:v>
                </c:pt>
                <c:pt idx="1">
                  <c:v>2019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'[kasımanket tablolar.xlsx]Sayfa1'!$A$102:$A$109</c:f>
              <c:strCache>
                <c:ptCount val="8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</c:strCache>
            </c:strRef>
          </c:cat>
          <c:val>
            <c:numRef>
              <c:f>'[kasımanket tablolar.xlsx]Sayfa1'!$H$102:$H$109</c:f>
              <c:numCache>
                <c:formatCode>General</c:formatCode>
                <c:ptCount val="8"/>
                <c:pt idx="0">
                  <c:v>4676.4870000000001</c:v>
                </c:pt>
                <c:pt idx="1">
                  <c:v>4369.3739999999998</c:v>
                </c:pt>
                <c:pt idx="2">
                  <c:v>4639.1210000000001</c:v>
                </c:pt>
                <c:pt idx="3">
                  <c:v>4375.1279999999997</c:v>
                </c:pt>
                <c:pt idx="4">
                  <c:v>4006.1639999999998</c:v>
                </c:pt>
                <c:pt idx="5">
                  <c:v>3544.596</c:v>
                </c:pt>
                <c:pt idx="6">
                  <c:v>4150.2920000000004</c:v>
                </c:pt>
                <c:pt idx="7">
                  <c:v>3684.636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8F-48A2-AD3C-AA132241CC4F}"/>
            </c:ext>
          </c:extLst>
        </c:ser>
        <c:ser>
          <c:idx val="7"/>
          <c:order val="7"/>
          <c:tx>
            <c:strRef>
              <c:f>'[kasımanket tablolar.xlsx]Sayfa1'!$I$100:$I$101</c:f>
              <c:strCache>
                <c:ptCount val="2"/>
                <c:pt idx="0">
                  <c:v>Üniversite</c:v>
                </c:pt>
                <c:pt idx="1">
                  <c:v>2020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9525" cap="flat" cmpd="sng" algn="ctr">
              <a:solidFill>
                <a:schemeClr val="accent2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'[kasımanket tablolar.xlsx]Sayfa1'!$A$102:$A$109</c:f>
              <c:strCache>
                <c:ptCount val="8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</c:strCache>
            </c:strRef>
          </c:cat>
          <c:val>
            <c:numRef>
              <c:f>'[kasımanket tablolar.xlsx]Sayfa1'!$I$102:$I$109</c:f>
              <c:numCache>
                <c:formatCode>General</c:formatCode>
                <c:ptCount val="8"/>
                <c:pt idx="0">
                  <c:v>4863.027</c:v>
                </c:pt>
                <c:pt idx="1">
                  <c:v>4443.3220000000001</c:v>
                </c:pt>
                <c:pt idx="2">
                  <c:v>3464.7930000000001</c:v>
                </c:pt>
                <c:pt idx="3">
                  <c:v>1248.644</c:v>
                </c:pt>
                <c:pt idx="4">
                  <c:v>1227.1550000000002</c:v>
                </c:pt>
                <c:pt idx="5">
                  <c:v>2534</c:v>
                </c:pt>
                <c:pt idx="6">
                  <c:v>2898.0810000000001</c:v>
                </c:pt>
                <c:pt idx="7">
                  <c:v>2804.212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08F-48A2-AD3C-AA132241CC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3153536"/>
        <c:axId val="153155072"/>
      </c:barChart>
      <c:catAx>
        <c:axId val="15315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3155072"/>
        <c:crosses val="autoZero"/>
        <c:auto val="1"/>
        <c:lblAlgn val="ctr"/>
        <c:lblOffset val="100"/>
        <c:noMultiLvlLbl val="0"/>
      </c:catAx>
      <c:valAx>
        <c:axId val="15315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315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76F6-F554-4961-B3CD-806DA571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Gülşah Yüksel Kırımlı</dc:creator>
  <cp:keywords/>
  <dc:description/>
  <cp:lastModifiedBy>PC</cp:lastModifiedBy>
  <cp:revision>59</cp:revision>
  <dcterms:created xsi:type="dcterms:W3CDTF">2020-12-14T06:28:00Z</dcterms:created>
  <dcterms:modified xsi:type="dcterms:W3CDTF">2020-12-22T07:11:00Z</dcterms:modified>
</cp:coreProperties>
</file>