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6F4B" w14:textId="2B49FB5C" w:rsidR="00331D9E" w:rsidRPr="00D65F0E" w:rsidRDefault="67E44B50" w:rsidP="47108F29">
      <w:pPr>
        <w:pStyle w:val="Balk1"/>
        <w:jc w:val="center"/>
        <w:rPr>
          <w:rFonts w:ascii="Calibri Light" w:eastAsia="Calibri Light" w:hAnsi="Calibri Light" w:cs="Calibri Light"/>
          <w:color w:val="000000" w:themeColor="text1"/>
          <w:sz w:val="52"/>
          <w:szCs w:val="52"/>
        </w:rPr>
      </w:pPr>
      <w:r w:rsidRPr="00D65F0E">
        <w:rPr>
          <w:rFonts w:ascii="Calibri Light" w:eastAsia="Calibri Light" w:hAnsi="Calibri Light" w:cs="Calibri Light"/>
          <w:b/>
          <w:bCs/>
          <w:color w:val="000000" w:themeColor="text1"/>
          <w:sz w:val="52"/>
          <w:szCs w:val="52"/>
        </w:rPr>
        <w:t xml:space="preserve">Türk Tabipleri Birliği </w:t>
      </w:r>
    </w:p>
    <w:p w14:paraId="67FEDC8D" w14:textId="20838F0D" w:rsidR="00331D9E" w:rsidRPr="00D65F0E" w:rsidRDefault="67E44B50" w:rsidP="47108F29">
      <w:pPr>
        <w:pStyle w:val="Balk1"/>
        <w:jc w:val="center"/>
        <w:rPr>
          <w:rFonts w:ascii="Calibri Light" w:eastAsia="Calibri Light" w:hAnsi="Calibri Light" w:cs="Calibri Light"/>
          <w:color w:val="000000" w:themeColor="text1"/>
          <w:sz w:val="52"/>
          <w:szCs w:val="52"/>
        </w:rPr>
      </w:pPr>
      <w:r w:rsidRPr="00D65F0E">
        <w:rPr>
          <w:rFonts w:ascii="Calibri Light" w:eastAsia="Calibri Light" w:hAnsi="Calibri Light" w:cs="Calibri Light"/>
          <w:b/>
          <w:bCs/>
          <w:color w:val="000000" w:themeColor="text1"/>
          <w:sz w:val="52"/>
          <w:szCs w:val="52"/>
        </w:rPr>
        <w:t>Aile Hekimliği Kolu</w:t>
      </w:r>
    </w:p>
    <w:p w14:paraId="54406966" w14:textId="5E295C96" w:rsidR="00331D9E" w:rsidRPr="00D65F0E" w:rsidRDefault="67E44B50" w:rsidP="47108F29">
      <w:pPr>
        <w:pStyle w:val="Balk1"/>
        <w:jc w:val="center"/>
        <w:rPr>
          <w:rFonts w:ascii="Calibri Light" w:eastAsia="Calibri Light" w:hAnsi="Calibri Light" w:cs="Calibri Light"/>
          <w:color w:val="000000" w:themeColor="text1"/>
          <w:sz w:val="52"/>
          <w:szCs w:val="52"/>
        </w:rPr>
      </w:pPr>
      <w:r w:rsidRPr="00D65F0E">
        <w:rPr>
          <w:rFonts w:ascii="Calibri Light" w:eastAsia="Calibri Light" w:hAnsi="Calibri Light" w:cs="Calibri Light"/>
          <w:b/>
          <w:bCs/>
          <w:color w:val="000000" w:themeColor="text1"/>
          <w:sz w:val="52"/>
          <w:szCs w:val="52"/>
        </w:rPr>
        <w:t xml:space="preserve">Aile Hekimliğinde Pandemi Süreci </w:t>
      </w:r>
    </w:p>
    <w:p w14:paraId="0FAFF6EB" w14:textId="242C0DFC" w:rsidR="00331D9E" w:rsidRPr="00D65F0E" w:rsidRDefault="17E9108C" w:rsidP="17E9108C">
      <w:pPr>
        <w:pStyle w:val="Balk1"/>
        <w:jc w:val="center"/>
        <w:rPr>
          <w:rFonts w:ascii="Calibri Light" w:eastAsia="Calibri Light" w:hAnsi="Calibri Light" w:cs="Calibri Light"/>
          <w:color w:val="000000" w:themeColor="text1"/>
          <w:sz w:val="52"/>
          <w:szCs w:val="52"/>
        </w:rPr>
      </w:pPr>
      <w:r w:rsidRPr="17E9108C">
        <w:rPr>
          <w:rFonts w:ascii="Calibri Light" w:eastAsia="Calibri Light" w:hAnsi="Calibri Light" w:cs="Calibri Light"/>
          <w:b/>
          <w:bCs/>
          <w:color w:val="000000" w:themeColor="text1"/>
          <w:sz w:val="52"/>
          <w:szCs w:val="52"/>
        </w:rPr>
        <w:t xml:space="preserve"> 8-14 Şubat 2021 Anketi Sonuçları</w:t>
      </w:r>
    </w:p>
    <w:p w14:paraId="228289FE" w14:textId="77777777" w:rsidR="006D10C7" w:rsidRDefault="006D10C7" w:rsidP="006D10C7">
      <w:pPr>
        <w:pStyle w:val="ListeParagraf"/>
        <w:rPr>
          <w:sz w:val="40"/>
          <w:szCs w:val="40"/>
        </w:rPr>
      </w:pPr>
    </w:p>
    <w:p w14:paraId="04F4A706" w14:textId="77777777" w:rsidR="006D10C7" w:rsidRDefault="006D10C7" w:rsidP="006D10C7">
      <w:pPr>
        <w:pStyle w:val="ListeParagraf"/>
        <w:rPr>
          <w:sz w:val="40"/>
          <w:szCs w:val="40"/>
        </w:rPr>
      </w:pPr>
    </w:p>
    <w:p w14:paraId="79211F25" w14:textId="1A20AF7A" w:rsidR="006D10C7" w:rsidRPr="006D10C7" w:rsidRDefault="006D10C7" w:rsidP="006D10C7">
      <w:pPr>
        <w:pStyle w:val="ListeParagraf"/>
        <w:numPr>
          <w:ilvl w:val="0"/>
          <w:numId w:val="4"/>
        </w:numPr>
        <w:rPr>
          <w:sz w:val="40"/>
          <w:szCs w:val="40"/>
        </w:rPr>
      </w:pPr>
      <w:r w:rsidRPr="006D10C7">
        <w:rPr>
          <w:sz w:val="40"/>
          <w:szCs w:val="40"/>
        </w:rPr>
        <w:t>Salgının yavaşlama hızı durdu. Bölgesel artışlar daha sık görülüyor.</w:t>
      </w:r>
    </w:p>
    <w:p w14:paraId="302959D0" w14:textId="022DCD4C" w:rsidR="00144430" w:rsidRPr="006D10C7" w:rsidRDefault="00144430" w:rsidP="006D10C7">
      <w:pPr>
        <w:pStyle w:val="ListeParagraf"/>
        <w:numPr>
          <w:ilvl w:val="0"/>
          <w:numId w:val="4"/>
        </w:numPr>
        <w:rPr>
          <w:sz w:val="40"/>
          <w:szCs w:val="40"/>
        </w:rPr>
      </w:pPr>
      <w:r w:rsidRPr="006D10C7">
        <w:rPr>
          <w:sz w:val="40"/>
          <w:szCs w:val="40"/>
        </w:rPr>
        <w:t>Aile Hekimleri 75 yaş üstü aşılamanın başladığı dönemde; günde o</w:t>
      </w:r>
      <w:r w:rsidR="00770D0D" w:rsidRPr="006D10C7">
        <w:rPr>
          <w:sz w:val="40"/>
          <w:szCs w:val="40"/>
        </w:rPr>
        <w:t>rtalama 12 aşı yapabilmiş.</w:t>
      </w:r>
    </w:p>
    <w:p w14:paraId="59CA23E2" w14:textId="3CFFDE54" w:rsidR="00144430" w:rsidRPr="00770D0D" w:rsidRDefault="00144430" w:rsidP="00770D0D">
      <w:pPr>
        <w:pStyle w:val="ListeParagraf"/>
        <w:numPr>
          <w:ilvl w:val="0"/>
          <w:numId w:val="4"/>
        </w:numPr>
        <w:rPr>
          <w:sz w:val="40"/>
          <w:szCs w:val="40"/>
        </w:rPr>
      </w:pPr>
      <w:r w:rsidRPr="00770D0D">
        <w:rPr>
          <w:sz w:val="40"/>
          <w:szCs w:val="40"/>
        </w:rPr>
        <w:t xml:space="preserve">Bu hızla 100 milyon aşının uygulanabilmesi </w:t>
      </w:r>
      <w:r w:rsidR="00770D0D" w:rsidRPr="00770D0D">
        <w:rPr>
          <w:sz w:val="40"/>
          <w:szCs w:val="40"/>
        </w:rPr>
        <w:t>1 yıldan uzun süre gerekebilir.</w:t>
      </w:r>
    </w:p>
    <w:p w14:paraId="7583D421" w14:textId="6F5F0843" w:rsidR="00144430" w:rsidRPr="00770D0D" w:rsidRDefault="00770D0D" w:rsidP="00770D0D">
      <w:pPr>
        <w:pStyle w:val="ListeParagraf"/>
        <w:numPr>
          <w:ilvl w:val="0"/>
          <w:numId w:val="4"/>
        </w:numPr>
        <w:rPr>
          <w:sz w:val="40"/>
          <w:szCs w:val="40"/>
        </w:rPr>
      </w:pPr>
      <w:r w:rsidRPr="00770D0D">
        <w:rPr>
          <w:sz w:val="40"/>
          <w:szCs w:val="40"/>
        </w:rPr>
        <w:t>A</w:t>
      </w:r>
      <w:r w:rsidR="00144430" w:rsidRPr="00770D0D">
        <w:rPr>
          <w:sz w:val="40"/>
          <w:szCs w:val="40"/>
        </w:rPr>
        <w:t>şılamalar</w:t>
      </w:r>
      <w:r w:rsidRPr="00770D0D">
        <w:rPr>
          <w:sz w:val="40"/>
          <w:szCs w:val="40"/>
        </w:rPr>
        <w:t xml:space="preserve">ın büyük çoğunluğu Aile Sağlığı </w:t>
      </w:r>
      <w:r w:rsidR="00144430" w:rsidRPr="00770D0D">
        <w:rPr>
          <w:sz w:val="40"/>
          <w:szCs w:val="40"/>
        </w:rPr>
        <w:t xml:space="preserve">Merkezlerinde yapılmaktadır. </w:t>
      </w:r>
    </w:p>
    <w:p w14:paraId="376D6927" w14:textId="4F0D4EB2" w:rsidR="0095578C" w:rsidRPr="00770D0D" w:rsidRDefault="00DF7730" w:rsidP="00770D0D">
      <w:pPr>
        <w:pStyle w:val="ListeParagraf"/>
        <w:numPr>
          <w:ilvl w:val="0"/>
          <w:numId w:val="4"/>
        </w:numPr>
        <w:rPr>
          <w:sz w:val="40"/>
          <w:szCs w:val="40"/>
        </w:rPr>
      </w:pPr>
      <w:r w:rsidRPr="00770D0D">
        <w:rPr>
          <w:sz w:val="40"/>
          <w:szCs w:val="40"/>
        </w:rPr>
        <w:t xml:space="preserve">Aşı teminindeki </w:t>
      </w:r>
      <w:r w:rsidR="00770D0D" w:rsidRPr="00770D0D">
        <w:rPr>
          <w:sz w:val="40"/>
          <w:szCs w:val="40"/>
        </w:rPr>
        <w:t>gecikmeler, Aşıla</w:t>
      </w:r>
      <w:r w:rsidRPr="00770D0D">
        <w:rPr>
          <w:sz w:val="40"/>
          <w:szCs w:val="40"/>
        </w:rPr>
        <w:t xml:space="preserve"> programı </w:t>
      </w:r>
      <w:r w:rsidR="00770D0D" w:rsidRPr="00770D0D">
        <w:rPr>
          <w:sz w:val="40"/>
          <w:szCs w:val="40"/>
        </w:rPr>
        <w:t>sorunları, Randevu</w:t>
      </w:r>
      <w:r w:rsidRPr="00770D0D">
        <w:rPr>
          <w:sz w:val="40"/>
          <w:szCs w:val="40"/>
        </w:rPr>
        <w:t xml:space="preserve"> alma zorluğu </w:t>
      </w:r>
      <w:r w:rsidR="00770D0D" w:rsidRPr="00770D0D">
        <w:rPr>
          <w:sz w:val="40"/>
          <w:szCs w:val="40"/>
        </w:rPr>
        <w:t>sürüyor.</w:t>
      </w:r>
    </w:p>
    <w:p w14:paraId="756C8B95" w14:textId="459D0127" w:rsidR="00770D0D" w:rsidRPr="00770D0D" w:rsidRDefault="0095578C" w:rsidP="00770D0D">
      <w:pPr>
        <w:pStyle w:val="ListeParagraf"/>
        <w:numPr>
          <w:ilvl w:val="0"/>
          <w:numId w:val="4"/>
        </w:numPr>
        <w:rPr>
          <w:sz w:val="40"/>
          <w:szCs w:val="40"/>
        </w:rPr>
      </w:pPr>
      <w:r w:rsidRPr="00770D0D">
        <w:rPr>
          <w:sz w:val="40"/>
          <w:szCs w:val="40"/>
        </w:rPr>
        <w:t>ASM</w:t>
      </w:r>
      <w:r w:rsidR="00770D0D" w:rsidRPr="00770D0D">
        <w:rPr>
          <w:sz w:val="40"/>
          <w:szCs w:val="40"/>
        </w:rPr>
        <w:t>’lerin mekân ve aile hekimi, hemşire eksikliği sorunları giderilmiyor…</w:t>
      </w:r>
    </w:p>
    <w:p w14:paraId="23430F5D" w14:textId="77777777" w:rsidR="00144430" w:rsidRDefault="00144430" w:rsidP="47108F29">
      <w:pPr>
        <w:rPr>
          <w:sz w:val="24"/>
          <w:szCs w:val="24"/>
        </w:rPr>
      </w:pPr>
    </w:p>
    <w:p w14:paraId="36056795" w14:textId="1F38E32B" w:rsidR="007B6D48" w:rsidRPr="000B5FA5" w:rsidRDefault="007B6D48" w:rsidP="00703832">
      <w:pPr>
        <w:ind w:firstLine="360"/>
        <w:rPr>
          <w:sz w:val="24"/>
          <w:szCs w:val="24"/>
        </w:rPr>
      </w:pPr>
      <w:r>
        <w:rPr>
          <w:sz w:val="24"/>
          <w:szCs w:val="24"/>
        </w:rPr>
        <w:t>TTB Aile Hekimliği Kolu, ‘Aile</w:t>
      </w:r>
      <w:r w:rsidRPr="000B5FA5">
        <w:rPr>
          <w:sz w:val="24"/>
          <w:szCs w:val="24"/>
        </w:rPr>
        <w:t xml:space="preserve"> hekimliği pandemi anketleri</w:t>
      </w:r>
      <w:r>
        <w:rPr>
          <w:sz w:val="24"/>
          <w:szCs w:val="24"/>
        </w:rPr>
        <w:t>yle</w:t>
      </w:r>
      <w:r w:rsidRPr="000B5FA5">
        <w:rPr>
          <w:rStyle w:val="SonNotBavurusu"/>
          <w:sz w:val="24"/>
          <w:szCs w:val="24"/>
        </w:rPr>
        <w:endnoteReference w:id="1"/>
      </w:r>
      <w:r>
        <w:rPr>
          <w:sz w:val="24"/>
          <w:szCs w:val="24"/>
        </w:rPr>
        <w:t>’ salgının</w:t>
      </w:r>
      <w:r w:rsidRPr="000B5FA5">
        <w:rPr>
          <w:sz w:val="24"/>
          <w:szCs w:val="24"/>
        </w:rPr>
        <w:t xml:space="preserve"> birinci basamak</w:t>
      </w:r>
      <w:r>
        <w:rPr>
          <w:sz w:val="24"/>
          <w:szCs w:val="24"/>
        </w:rPr>
        <w:t>taki</w:t>
      </w:r>
      <w:r w:rsidRPr="000B5FA5">
        <w:rPr>
          <w:sz w:val="24"/>
          <w:szCs w:val="24"/>
        </w:rPr>
        <w:t xml:space="preserve"> seyr</w:t>
      </w:r>
      <w:r>
        <w:rPr>
          <w:sz w:val="24"/>
          <w:szCs w:val="24"/>
        </w:rPr>
        <w:t xml:space="preserve">ine ışık tutabilmek, </w:t>
      </w:r>
      <w:r w:rsidRPr="000B5FA5">
        <w:rPr>
          <w:sz w:val="24"/>
          <w:szCs w:val="24"/>
        </w:rPr>
        <w:t>pandemiyle yürütülen mücadeley</w:t>
      </w:r>
      <w:r>
        <w:rPr>
          <w:sz w:val="24"/>
          <w:szCs w:val="24"/>
        </w:rPr>
        <w:t xml:space="preserve">e katkı sağlamak amacıyla 2020 </w:t>
      </w:r>
      <w:r w:rsidRPr="000B5FA5">
        <w:rPr>
          <w:sz w:val="24"/>
          <w:szCs w:val="24"/>
        </w:rPr>
        <w:t xml:space="preserve">Eylül </w:t>
      </w:r>
      <w:r>
        <w:rPr>
          <w:sz w:val="24"/>
          <w:szCs w:val="24"/>
        </w:rPr>
        <w:t>ayından bu yana</w:t>
      </w:r>
      <w:r w:rsidRPr="000B5FA5">
        <w:rPr>
          <w:sz w:val="24"/>
          <w:szCs w:val="24"/>
        </w:rPr>
        <w:t xml:space="preserve">düzenli olarak </w:t>
      </w:r>
      <w:r>
        <w:rPr>
          <w:sz w:val="24"/>
          <w:szCs w:val="24"/>
        </w:rPr>
        <w:t xml:space="preserve">her ay </w:t>
      </w:r>
      <w:r w:rsidRPr="000B5FA5">
        <w:rPr>
          <w:sz w:val="24"/>
          <w:szCs w:val="24"/>
        </w:rPr>
        <w:t>y</w:t>
      </w:r>
      <w:r>
        <w:rPr>
          <w:sz w:val="24"/>
          <w:szCs w:val="24"/>
        </w:rPr>
        <w:t>aptığı aile hekimliği anketlerini sürdürüyor.</w:t>
      </w:r>
    </w:p>
    <w:p w14:paraId="4DC8DD5C" w14:textId="2AD1611F" w:rsidR="007B6D48" w:rsidRDefault="007B6D48" w:rsidP="00703832">
      <w:pPr>
        <w:ind w:firstLine="360"/>
        <w:rPr>
          <w:sz w:val="24"/>
          <w:szCs w:val="24"/>
        </w:rPr>
      </w:pPr>
      <w:r>
        <w:rPr>
          <w:sz w:val="24"/>
          <w:szCs w:val="24"/>
        </w:rPr>
        <w:t xml:space="preserve">Bugüne kadar yapılan çalışma sonuçları ile gerçek vaka sayılarının toplumla paylaşılması ve salgın yönetimi için tedbirlerin alınması sağlanmıştır. Geçmiş anketlerde, aile hekimlerinin tükenmişlikleri, ne kadarının COVID-19 geçirdiği, yaygın aşılama için gereksinimleri, evde </w:t>
      </w:r>
      <w:r>
        <w:rPr>
          <w:sz w:val="24"/>
          <w:szCs w:val="24"/>
        </w:rPr>
        <w:lastRenderedPageBreak/>
        <w:t>takip edilen hastaların ve hekimlerinin yaşadıkları, ertelenen sağlık sorunları, günde kaç aşı yapabilecekleri, aile hekimliği birimlerinde çalışan eksikliğinin boyutları tespit edilmiş ve kamuoyu ile paylaşılmıştır.</w:t>
      </w:r>
    </w:p>
    <w:p w14:paraId="0625CE7A" w14:textId="140D608B" w:rsidR="00703832" w:rsidRDefault="00703832" w:rsidP="00703832">
      <w:pPr>
        <w:ind w:firstLine="360"/>
        <w:rPr>
          <w:sz w:val="24"/>
          <w:szCs w:val="24"/>
        </w:rPr>
      </w:pPr>
      <w:r>
        <w:rPr>
          <w:sz w:val="24"/>
          <w:szCs w:val="24"/>
        </w:rPr>
        <w:t xml:space="preserve">Salgının birinci yılına girerken Aile Hekimleri, </w:t>
      </w:r>
      <w:r w:rsidRPr="000B5FA5">
        <w:rPr>
          <w:sz w:val="24"/>
          <w:szCs w:val="24"/>
        </w:rPr>
        <w:t>COVID</w:t>
      </w:r>
      <w:r>
        <w:rPr>
          <w:sz w:val="24"/>
          <w:szCs w:val="24"/>
        </w:rPr>
        <w:t>-</w:t>
      </w:r>
      <w:r w:rsidRPr="000B5FA5">
        <w:rPr>
          <w:sz w:val="24"/>
          <w:szCs w:val="24"/>
        </w:rPr>
        <w:t>19 rehberi doğrultusunda tüm PCR+ ve BT pozitif hastalar ile vaka temaslılar</w:t>
      </w:r>
      <w:r>
        <w:rPr>
          <w:sz w:val="24"/>
          <w:szCs w:val="24"/>
        </w:rPr>
        <w:t>ı</w:t>
      </w:r>
      <w:r w:rsidRPr="000B5FA5">
        <w:rPr>
          <w:sz w:val="24"/>
          <w:szCs w:val="24"/>
        </w:rPr>
        <w:t xml:space="preserve"> takip e</w:t>
      </w:r>
      <w:r>
        <w:rPr>
          <w:sz w:val="24"/>
          <w:szCs w:val="24"/>
        </w:rPr>
        <w:t>tmekte, aşılama hizmetlerinin büyük bir bölümünü üstlenmektedir.</w:t>
      </w:r>
    </w:p>
    <w:p w14:paraId="3DBE28E8" w14:textId="77777777" w:rsidR="00703832" w:rsidRPr="000B5FA5" w:rsidRDefault="00703832" w:rsidP="00703832">
      <w:pPr>
        <w:ind w:firstLine="360"/>
        <w:rPr>
          <w:sz w:val="24"/>
          <w:szCs w:val="24"/>
        </w:rPr>
      </w:pPr>
      <w:r>
        <w:rPr>
          <w:sz w:val="24"/>
          <w:szCs w:val="24"/>
        </w:rPr>
        <w:t>8</w:t>
      </w:r>
      <w:r w:rsidRPr="4B0E2DF7">
        <w:rPr>
          <w:sz w:val="24"/>
          <w:szCs w:val="24"/>
        </w:rPr>
        <w:t xml:space="preserve">-14 </w:t>
      </w:r>
      <w:r>
        <w:rPr>
          <w:sz w:val="24"/>
          <w:szCs w:val="24"/>
        </w:rPr>
        <w:t>Şubat 2021</w:t>
      </w:r>
      <w:r w:rsidRPr="4B0E2DF7">
        <w:rPr>
          <w:sz w:val="24"/>
          <w:szCs w:val="24"/>
        </w:rPr>
        <w:t xml:space="preserve"> tarihleri arasında yapılan anketimize Türkiye genelinden </w:t>
      </w:r>
      <w:r>
        <w:rPr>
          <w:sz w:val="24"/>
          <w:szCs w:val="24"/>
        </w:rPr>
        <w:t>56</w:t>
      </w:r>
      <w:r w:rsidRPr="4B0E2DF7">
        <w:rPr>
          <w:sz w:val="24"/>
          <w:szCs w:val="24"/>
        </w:rPr>
        <w:t xml:space="preserve"> ilden </w:t>
      </w:r>
      <w:r>
        <w:rPr>
          <w:sz w:val="24"/>
          <w:szCs w:val="24"/>
        </w:rPr>
        <w:t>765</w:t>
      </w:r>
      <w:r w:rsidRPr="4B0E2DF7">
        <w:rPr>
          <w:sz w:val="24"/>
          <w:szCs w:val="24"/>
        </w:rPr>
        <w:t xml:space="preserve"> aile hekimi yanıt vermiştir. Yanıt alınamayan </w:t>
      </w:r>
      <w:r>
        <w:rPr>
          <w:sz w:val="24"/>
          <w:szCs w:val="24"/>
        </w:rPr>
        <w:t>25</w:t>
      </w:r>
      <w:r w:rsidRPr="4B0E2DF7">
        <w:rPr>
          <w:sz w:val="24"/>
          <w:szCs w:val="24"/>
        </w:rPr>
        <w:t xml:space="preserve"> il; </w:t>
      </w:r>
      <w:r>
        <w:rPr>
          <w:sz w:val="24"/>
          <w:szCs w:val="24"/>
        </w:rPr>
        <w:t xml:space="preserve">Ağrı, Aydın, </w:t>
      </w:r>
      <w:r w:rsidRPr="4B0E2DF7">
        <w:rPr>
          <w:sz w:val="24"/>
          <w:szCs w:val="24"/>
        </w:rPr>
        <w:t>Bingöl,</w:t>
      </w:r>
      <w:r>
        <w:rPr>
          <w:sz w:val="24"/>
          <w:szCs w:val="24"/>
        </w:rPr>
        <w:t xml:space="preserve"> Bitlis, Bolu, Çanakkale, </w:t>
      </w:r>
      <w:r w:rsidRPr="4B0E2DF7">
        <w:rPr>
          <w:sz w:val="24"/>
          <w:szCs w:val="24"/>
        </w:rPr>
        <w:t xml:space="preserve"> Gümüşhane, </w:t>
      </w:r>
      <w:r>
        <w:rPr>
          <w:sz w:val="24"/>
          <w:szCs w:val="24"/>
        </w:rPr>
        <w:t>Kars, Kırşehir</w:t>
      </w:r>
      <w:r w:rsidRPr="4B0E2DF7">
        <w:rPr>
          <w:sz w:val="24"/>
          <w:szCs w:val="24"/>
        </w:rPr>
        <w:t xml:space="preserve">, </w:t>
      </w:r>
      <w:r>
        <w:rPr>
          <w:sz w:val="24"/>
          <w:szCs w:val="24"/>
        </w:rPr>
        <w:t>Kahramanmaraş, Niğde, Ordu, Sakarya, Sinop, Sivas, Tokat, Uşak, Zonguldak, Aksaray, Bayburt, Karaman, Ardahan, Iğdır,</w:t>
      </w:r>
      <w:r w:rsidRPr="4B0E2DF7">
        <w:rPr>
          <w:sz w:val="24"/>
          <w:szCs w:val="24"/>
        </w:rPr>
        <w:t xml:space="preserve"> Kilis</w:t>
      </w:r>
      <w:r>
        <w:rPr>
          <w:sz w:val="24"/>
          <w:szCs w:val="24"/>
        </w:rPr>
        <w:t xml:space="preserve"> ve Düzce’dir</w:t>
      </w:r>
      <w:r w:rsidRPr="4B0E2DF7">
        <w:rPr>
          <w:sz w:val="24"/>
          <w:szCs w:val="24"/>
        </w:rPr>
        <w:t xml:space="preserve">. </w:t>
      </w:r>
    </w:p>
    <w:p w14:paraId="2636EB83" w14:textId="77777777" w:rsidR="00703832" w:rsidRDefault="00703832" w:rsidP="00703832">
      <w:pPr>
        <w:ind w:firstLine="360"/>
        <w:rPr>
          <w:sz w:val="24"/>
          <w:szCs w:val="24"/>
        </w:rPr>
      </w:pPr>
      <w:r>
        <w:rPr>
          <w:sz w:val="24"/>
          <w:szCs w:val="24"/>
        </w:rPr>
        <w:t>Şubat ayı raporunda vaka sayılarının yanı sıra Aile Hekimlerinin ve kayıtlı nüfusunun aşı olup olmadıkları, günde en fazla kaç aşı yapabildikleri, aşılama ilgili sorunlar yaşayıp yaşamadıkları sorgulanmıştır.</w:t>
      </w:r>
    </w:p>
    <w:p w14:paraId="2D81D378" w14:textId="0F42C84F" w:rsidR="00643869" w:rsidRDefault="00770D0D" w:rsidP="00703832">
      <w:pPr>
        <w:ind w:firstLine="360"/>
        <w:rPr>
          <w:sz w:val="24"/>
          <w:szCs w:val="24"/>
        </w:rPr>
      </w:pPr>
      <w:r>
        <w:rPr>
          <w:sz w:val="24"/>
          <w:szCs w:val="24"/>
        </w:rPr>
        <w:t>Ocak ayında olduğu gibi bu Şubat ayında da Sağlık Bakanlığı verileri anket sonuçlarımızla uyumludur</w:t>
      </w:r>
      <w:r w:rsidR="00703832">
        <w:rPr>
          <w:sz w:val="24"/>
          <w:szCs w:val="24"/>
        </w:rPr>
        <w:t>.</w:t>
      </w:r>
    </w:p>
    <w:p w14:paraId="6B90AEB0" w14:textId="77777777" w:rsidR="00703832" w:rsidRDefault="00597CE5" w:rsidP="00703832">
      <w:pPr>
        <w:pStyle w:val="ListeParagraf"/>
        <w:jc w:val="center"/>
        <w:rPr>
          <w:sz w:val="40"/>
          <w:szCs w:val="40"/>
        </w:rPr>
      </w:pPr>
      <w:r w:rsidRPr="00703832">
        <w:rPr>
          <w:sz w:val="40"/>
          <w:szCs w:val="40"/>
        </w:rPr>
        <w:t xml:space="preserve">Salgının yavaşlama hızı durdu. </w:t>
      </w:r>
    </w:p>
    <w:p w14:paraId="4B29C010" w14:textId="288A9325" w:rsidR="00A91793" w:rsidRPr="00703832" w:rsidRDefault="00597CE5" w:rsidP="00703832">
      <w:pPr>
        <w:pStyle w:val="ListeParagraf"/>
        <w:jc w:val="center"/>
        <w:rPr>
          <w:sz w:val="40"/>
          <w:szCs w:val="40"/>
        </w:rPr>
      </w:pPr>
      <w:r w:rsidRPr="00703832">
        <w:rPr>
          <w:sz w:val="40"/>
          <w:szCs w:val="40"/>
        </w:rPr>
        <w:t>Bölgesel artışlar daha sık görülüyor.</w:t>
      </w:r>
    </w:p>
    <w:p w14:paraId="673BB9FF" w14:textId="77777777" w:rsidR="00703832" w:rsidRDefault="00703832" w:rsidP="47108F29">
      <w:pPr>
        <w:rPr>
          <w:b/>
          <w:sz w:val="24"/>
          <w:szCs w:val="24"/>
        </w:rPr>
      </w:pPr>
    </w:p>
    <w:p w14:paraId="795B5761" w14:textId="15470120" w:rsidR="00703832" w:rsidRDefault="17E9108C" w:rsidP="17E9108C">
      <w:pPr>
        <w:ind w:firstLine="708"/>
        <w:jc w:val="center"/>
        <w:rPr>
          <w:sz w:val="24"/>
          <w:szCs w:val="24"/>
        </w:rPr>
      </w:pPr>
      <w:r w:rsidRPr="17E9108C">
        <w:rPr>
          <w:i/>
          <w:iCs/>
          <w:sz w:val="28"/>
          <w:szCs w:val="28"/>
        </w:rPr>
        <w:t>Kasım ve Aralık aylarında aile hekimi başına 19,79 ve 22,55 COVID hastası düşmekteyken, Ocak ayında 3,95’e düşen ortalama hasta sayısı Şubat ayında 2,93’e düşmüştür.</w:t>
      </w:r>
    </w:p>
    <w:p w14:paraId="5FF9BE65" w14:textId="216D5755" w:rsidR="00331D9E" w:rsidRPr="000B5FA5" w:rsidRDefault="27940082" w:rsidP="00703832">
      <w:pPr>
        <w:ind w:firstLine="708"/>
        <w:rPr>
          <w:sz w:val="24"/>
          <w:szCs w:val="24"/>
        </w:rPr>
      </w:pPr>
      <w:r w:rsidRPr="4B0E2DF7">
        <w:rPr>
          <w:sz w:val="24"/>
          <w:szCs w:val="24"/>
        </w:rPr>
        <w:t>Çalışmamıza göre</w:t>
      </w:r>
      <w:r w:rsidR="00500124">
        <w:rPr>
          <w:sz w:val="24"/>
          <w:szCs w:val="24"/>
        </w:rPr>
        <w:t>,</w:t>
      </w:r>
      <w:r w:rsidRPr="4B0E2DF7">
        <w:rPr>
          <w:sz w:val="24"/>
          <w:szCs w:val="24"/>
        </w:rPr>
        <w:t xml:space="preserve"> </w:t>
      </w:r>
      <w:r w:rsidR="00597CE5">
        <w:rPr>
          <w:sz w:val="24"/>
          <w:szCs w:val="24"/>
        </w:rPr>
        <w:t>Şubat ayı başında aile hekim</w:t>
      </w:r>
      <w:r w:rsidR="00500124">
        <w:rPr>
          <w:sz w:val="24"/>
          <w:szCs w:val="24"/>
        </w:rPr>
        <w:t>lerinin listesine</w:t>
      </w:r>
      <w:r w:rsidR="00703832">
        <w:rPr>
          <w:sz w:val="24"/>
          <w:szCs w:val="24"/>
        </w:rPr>
        <w:t xml:space="preserve"> günde ortalama 7</w:t>
      </w:r>
      <w:r w:rsidR="00500124">
        <w:rPr>
          <w:sz w:val="24"/>
          <w:szCs w:val="24"/>
        </w:rPr>
        <w:t>.</w:t>
      </w:r>
      <w:r w:rsidR="00703832">
        <w:rPr>
          <w:sz w:val="24"/>
          <w:szCs w:val="24"/>
        </w:rPr>
        <w:t xml:space="preserve">056 </w:t>
      </w:r>
      <w:r w:rsidR="00597CE5">
        <w:rPr>
          <w:sz w:val="24"/>
          <w:szCs w:val="24"/>
        </w:rPr>
        <w:t>hasta düşmektedir. Evde takip edilen toplam hasta ortalaması ise 6,06’dır ve çalışma dönemi boyunca</w:t>
      </w:r>
      <w:r w:rsidR="00703832">
        <w:rPr>
          <w:sz w:val="24"/>
          <w:szCs w:val="24"/>
        </w:rPr>
        <w:t xml:space="preserve"> yaklaşık 158.</w:t>
      </w:r>
      <w:r w:rsidR="00597CE5">
        <w:rPr>
          <w:sz w:val="24"/>
          <w:szCs w:val="24"/>
        </w:rPr>
        <w:t xml:space="preserve">941 kişi evde takip edilmektedir. </w:t>
      </w:r>
    </w:p>
    <w:p w14:paraId="7BA0EFEC" w14:textId="77777777" w:rsidR="00030575" w:rsidRDefault="00597CE5" w:rsidP="006D10C7">
      <w:pPr>
        <w:ind w:firstLine="708"/>
        <w:rPr>
          <w:sz w:val="24"/>
          <w:szCs w:val="24"/>
        </w:rPr>
      </w:pPr>
      <w:r>
        <w:rPr>
          <w:sz w:val="24"/>
          <w:szCs w:val="24"/>
        </w:rPr>
        <w:t xml:space="preserve">Şubat ayında alınan tedbirlerin etkisi görülmektedir. Vaka sayıları azalmaya devam etmekte ancak tespit edilen COVID-19 hastasına temaslı kişi sayısı halen düşük seyretmektedir. </w:t>
      </w:r>
    </w:p>
    <w:p w14:paraId="2B950DC6" w14:textId="293BB6D4" w:rsidR="0037338F" w:rsidRDefault="17E9108C" w:rsidP="0037338F">
      <w:pPr>
        <w:pStyle w:val="ListeParagraf"/>
        <w:jc w:val="center"/>
        <w:rPr>
          <w:sz w:val="40"/>
          <w:szCs w:val="40"/>
        </w:rPr>
      </w:pPr>
      <w:r w:rsidRPr="17E9108C">
        <w:rPr>
          <w:sz w:val="40"/>
          <w:szCs w:val="40"/>
        </w:rPr>
        <w:t xml:space="preserve">Vaka ile izlem oranlarındaki farklıklar filyasyon </w:t>
      </w:r>
      <w:r w:rsidR="00EA3A90">
        <w:rPr>
          <w:sz w:val="40"/>
          <w:szCs w:val="40"/>
        </w:rPr>
        <w:t>uygulamasındaki değişikliklere</w:t>
      </w:r>
      <w:r w:rsidRPr="17E9108C">
        <w:rPr>
          <w:sz w:val="40"/>
          <w:szCs w:val="40"/>
        </w:rPr>
        <w:t xml:space="preserve"> ya da mutasyona bağlı olabilir?</w:t>
      </w:r>
    </w:p>
    <w:p w14:paraId="614186B4" w14:textId="1F9A32C4" w:rsidR="17E9108C" w:rsidRDefault="17E9108C" w:rsidP="17E9108C">
      <w:pPr>
        <w:ind w:firstLine="708"/>
        <w:rPr>
          <w:sz w:val="24"/>
          <w:szCs w:val="24"/>
        </w:rPr>
      </w:pPr>
    </w:p>
    <w:p w14:paraId="23C1BE02" w14:textId="4660797F" w:rsidR="00030575" w:rsidRDefault="17E9108C" w:rsidP="00030575">
      <w:pPr>
        <w:ind w:firstLine="708"/>
        <w:rPr>
          <w:sz w:val="24"/>
          <w:szCs w:val="24"/>
        </w:rPr>
      </w:pPr>
      <w:r w:rsidRPr="17E9108C">
        <w:rPr>
          <w:sz w:val="24"/>
          <w:szCs w:val="24"/>
        </w:rPr>
        <w:t xml:space="preserve">1 hastaya temaslı kişi sayısı halen 1 kişidir. Bu sonuç filyasyon’da temaslı takibinin eksik kalması ya da mutasyona bağlı olarak pozitif tespit edilen kişilerin aile fertlerinin çoğunun hastalanmasına bağlı olabilir. </w:t>
      </w:r>
    </w:p>
    <w:p w14:paraId="3BBF49D4" w14:textId="746E4396" w:rsidR="00FC2838" w:rsidRPr="00FC2838" w:rsidRDefault="17E9108C" w:rsidP="17E9108C">
      <w:pPr>
        <w:ind w:firstLine="708"/>
        <w:rPr>
          <w:sz w:val="24"/>
          <w:szCs w:val="24"/>
        </w:rPr>
      </w:pPr>
      <w:r w:rsidRPr="17E9108C">
        <w:rPr>
          <w:b/>
          <w:bCs/>
          <w:sz w:val="24"/>
          <w:szCs w:val="24"/>
        </w:rPr>
        <w:lastRenderedPageBreak/>
        <w:t>Tespit edilen COVID-19 vakaları ve izlemdeki toplam kişi sayısı oranı.</w:t>
      </w:r>
    </w:p>
    <w:p w14:paraId="78BBD841" w14:textId="7ED85113" w:rsidR="006F5F7C" w:rsidRDefault="006F5F7C" w:rsidP="47108F29">
      <w:pPr>
        <w:rPr>
          <w:sz w:val="24"/>
          <w:szCs w:val="24"/>
        </w:rPr>
      </w:pPr>
      <w:r>
        <w:rPr>
          <w:noProof/>
          <w:lang w:eastAsia="tr-TR"/>
        </w:rPr>
        <w:drawing>
          <wp:inline distT="0" distB="0" distL="0" distR="0" wp14:anchorId="4BAB4BA6" wp14:editId="408C7A6D">
            <wp:extent cx="5572125" cy="3133725"/>
            <wp:effectExtent l="0" t="0" r="0" b="0"/>
            <wp:docPr id="6" name="Grafik 6">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0AF5EB" w14:textId="7B5EC36C" w:rsidR="00331D9E" w:rsidRDefault="00597CE5" w:rsidP="4B0E2DF7">
      <w:pPr>
        <w:rPr>
          <w:sz w:val="24"/>
          <w:szCs w:val="24"/>
        </w:rPr>
      </w:pPr>
      <w:r>
        <w:rPr>
          <w:sz w:val="24"/>
          <w:szCs w:val="24"/>
        </w:rPr>
        <w:t xml:space="preserve">Ocak ayında hemen tüm aile hekimleri vaka sayılarının azaldığını belirtmişken bu ayki çalışmamızda 3 aile hekiminden biri bölgesine vaka sayılarında artış olduğunu belirtmiştir. </w:t>
      </w:r>
    </w:p>
    <w:p w14:paraId="7D7BFAAB" w14:textId="559AA0F0" w:rsidR="001A4168" w:rsidRPr="000B5FA5" w:rsidRDefault="001A4168" w:rsidP="4B0E2DF7">
      <w:pPr>
        <w:rPr>
          <w:sz w:val="24"/>
          <w:szCs w:val="24"/>
        </w:rPr>
      </w:pPr>
      <w:r>
        <w:rPr>
          <w:noProof/>
          <w:lang w:eastAsia="tr-TR"/>
        </w:rPr>
        <w:drawing>
          <wp:inline distT="0" distB="0" distL="0" distR="0" wp14:anchorId="281CF4DA" wp14:editId="223950D1">
            <wp:extent cx="4335780" cy="2651760"/>
            <wp:effectExtent l="0" t="0" r="7620" b="15240"/>
            <wp:docPr id="5" name="Grafik 5">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C5A4FC" w14:textId="6B296750" w:rsidR="6830D2EF" w:rsidRDefault="001A4168" w:rsidP="000B5FA5">
      <w:pPr>
        <w:pStyle w:val="Balk1"/>
        <w:jc w:val="center"/>
        <w:rPr>
          <w:rFonts w:ascii="Calibri Light" w:eastAsia="Calibri Light" w:hAnsi="Calibri Light" w:cs="Calibri Light"/>
          <w:b/>
          <w:bCs/>
          <w:color w:val="000000" w:themeColor="text1"/>
          <w:sz w:val="40"/>
          <w:szCs w:val="40"/>
        </w:rPr>
      </w:pPr>
      <w:r>
        <w:rPr>
          <w:rFonts w:ascii="Calibri Light" w:eastAsia="Calibri Light" w:hAnsi="Calibri Light" w:cs="Calibri Light"/>
          <w:b/>
          <w:bCs/>
          <w:color w:val="000000" w:themeColor="text1"/>
          <w:sz w:val="40"/>
          <w:szCs w:val="40"/>
        </w:rPr>
        <w:t xml:space="preserve">3. Açılma </w:t>
      </w:r>
      <w:r w:rsidR="006D10C7">
        <w:rPr>
          <w:rFonts w:ascii="Calibri Light" w:eastAsia="Calibri Light" w:hAnsi="Calibri Light" w:cs="Calibri Light"/>
          <w:b/>
          <w:bCs/>
          <w:color w:val="000000" w:themeColor="text1"/>
          <w:sz w:val="40"/>
          <w:szCs w:val="40"/>
        </w:rPr>
        <w:t>Programı Salgını hızını artırabilir</w:t>
      </w:r>
    </w:p>
    <w:p w14:paraId="76678A38" w14:textId="3D67F894" w:rsidR="002C57FF" w:rsidRDefault="001A4168" w:rsidP="47108F29">
      <w:pPr>
        <w:rPr>
          <w:sz w:val="24"/>
          <w:szCs w:val="24"/>
        </w:rPr>
      </w:pPr>
      <w:r>
        <w:rPr>
          <w:sz w:val="24"/>
          <w:szCs w:val="24"/>
        </w:rPr>
        <w:t xml:space="preserve">Mart ayındaki ilk dalgadan sonra Haziran ayında kademeli açılmalar başlamış ve Eylül ayı sonunda okulların açılması aşamasına geçilmiştir. Sağlık Bakanlığı Eylül ayı için günde 1500 civarında vaka açıklamaktaydı. Anketimizde ise bu sayı 12 binler civarındaydı. </w:t>
      </w:r>
    </w:p>
    <w:p w14:paraId="58B81E8E" w14:textId="5BB2A26D" w:rsidR="0014626A" w:rsidRPr="000B5FA5" w:rsidRDefault="0014626A" w:rsidP="47108F29">
      <w:pPr>
        <w:rPr>
          <w:sz w:val="24"/>
          <w:szCs w:val="24"/>
        </w:rPr>
      </w:pPr>
      <w:r>
        <w:rPr>
          <w:noProof/>
        </w:rPr>
        <w:lastRenderedPageBreak/>
        <w:drawing>
          <wp:inline distT="0" distB="0" distL="0" distR="0" wp14:anchorId="6F0E0B15" wp14:editId="46DAC435">
            <wp:extent cx="5486400" cy="283863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pic:nvPicPr>
                  <pic:blipFill>
                    <a:blip r:embed="rId10">
                      <a:extLst>
                        <a:ext uri="{28A0092B-C50C-407E-A947-70E740481C1C}">
                          <a14:useLocalDpi xmlns:a14="http://schemas.microsoft.com/office/drawing/2010/main" val="0"/>
                        </a:ext>
                      </a:extLst>
                    </a:blip>
                    <a:stretch>
                      <a:fillRect/>
                    </a:stretch>
                  </pic:blipFill>
                  <pic:spPr>
                    <a:xfrm>
                      <a:off x="0" y="0"/>
                      <a:ext cx="5499975" cy="2845655"/>
                    </a:xfrm>
                    <a:prstGeom prst="rect">
                      <a:avLst/>
                    </a:prstGeom>
                  </pic:spPr>
                </pic:pic>
              </a:graphicData>
            </a:graphic>
          </wp:inline>
        </w:drawing>
      </w:r>
    </w:p>
    <w:p w14:paraId="7B03D097" w14:textId="3E9354C0" w:rsidR="002C57FF" w:rsidRDefault="009256A7" w:rsidP="0037338F">
      <w:pPr>
        <w:ind w:firstLine="708"/>
        <w:rPr>
          <w:sz w:val="24"/>
          <w:szCs w:val="24"/>
        </w:rPr>
      </w:pPr>
      <w:r>
        <w:rPr>
          <w:sz w:val="24"/>
          <w:szCs w:val="24"/>
        </w:rPr>
        <w:t>O dönem için v</w:t>
      </w:r>
      <w:r w:rsidR="351AB88F" w:rsidRPr="4B0E2DF7">
        <w:rPr>
          <w:sz w:val="24"/>
          <w:szCs w:val="24"/>
        </w:rPr>
        <w:t>aka sayılarındaki değişim ve alınan kısıtlama ve açılma kararlarına baktığımızda</w:t>
      </w:r>
      <w:r w:rsidR="4D190D5D" w:rsidRPr="4B0E2DF7">
        <w:rPr>
          <w:sz w:val="24"/>
          <w:szCs w:val="24"/>
        </w:rPr>
        <w:t>;</w:t>
      </w:r>
      <w:r w:rsidR="351AB88F" w:rsidRPr="4B0E2DF7">
        <w:rPr>
          <w:sz w:val="24"/>
          <w:szCs w:val="24"/>
        </w:rPr>
        <w:t xml:space="preserve"> </w:t>
      </w:r>
      <w:r w:rsidR="351AB88F" w:rsidRPr="4B0E2DF7">
        <w:rPr>
          <w:b/>
          <w:bCs/>
          <w:sz w:val="24"/>
          <w:szCs w:val="24"/>
        </w:rPr>
        <w:t xml:space="preserve">21 Eylül’de </w:t>
      </w:r>
      <w:r w:rsidR="7E60F258" w:rsidRPr="4B0E2DF7">
        <w:rPr>
          <w:b/>
          <w:bCs/>
          <w:sz w:val="24"/>
          <w:szCs w:val="24"/>
        </w:rPr>
        <w:t xml:space="preserve">İlkokul 1 ve Hazırlık sınıflarının, 12 Ekim’de 2-3-4-8-12. </w:t>
      </w:r>
      <w:r w:rsidR="3FA702A2" w:rsidRPr="4B0E2DF7">
        <w:rPr>
          <w:b/>
          <w:bCs/>
          <w:sz w:val="24"/>
          <w:szCs w:val="24"/>
        </w:rPr>
        <w:t>s</w:t>
      </w:r>
      <w:r w:rsidR="7E60F258" w:rsidRPr="4B0E2DF7">
        <w:rPr>
          <w:b/>
          <w:bCs/>
          <w:sz w:val="24"/>
          <w:szCs w:val="24"/>
        </w:rPr>
        <w:t xml:space="preserve">ınıfların </w:t>
      </w:r>
      <w:r w:rsidR="11EA69BD" w:rsidRPr="4B0E2DF7">
        <w:rPr>
          <w:b/>
          <w:bCs/>
          <w:sz w:val="24"/>
          <w:szCs w:val="24"/>
        </w:rPr>
        <w:t>2 gün</w:t>
      </w:r>
      <w:r w:rsidR="0014626A">
        <w:rPr>
          <w:b/>
          <w:bCs/>
          <w:sz w:val="24"/>
          <w:szCs w:val="24"/>
        </w:rPr>
        <w:t>, 2 Kasım’da 5 ve 9. sınıfların</w:t>
      </w:r>
      <w:r w:rsidR="11EA69BD" w:rsidRPr="4B0E2DF7">
        <w:rPr>
          <w:b/>
          <w:bCs/>
          <w:sz w:val="24"/>
          <w:szCs w:val="24"/>
        </w:rPr>
        <w:t xml:space="preserve"> 5 gün </w:t>
      </w:r>
      <w:r w:rsidR="7E60F258" w:rsidRPr="4B0E2DF7">
        <w:rPr>
          <w:b/>
          <w:bCs/>
          <w:sz w:val="24"/>
          <w:szCs w:val="24"/>
        </w:rPr>
        <w:t>yüz yüze eğitime başlaması ile vaka sayılarının arttığı görülmektedir</w:t>
      </w:r>
      <w:r w:rsidR="7E60F258" w:rsidRPr="4B0E2DF7">
        <w:rPr>
          <w:sz w:val="24"/>
          <w:szCs w:val="24"/>
        </w:rPr>
        <w:t xml:space="preserve">. </w:t>
      </w:r>
      <w:r w:rsidR="00FD3FC1">
        <w:rPr>
          <w:sz w:val="24"/>
          <w:szCs w:val="24"/>
        </w:rPr>
        <w:t xml:space="preserve">Şubat </w:t>
      </w:r>
      <w:r>
        <w:rPr>
          <w:sz w:val="24"/>
          <w:szCs w:val="24"/>
        </w:rPr>
        <w:t>ve Mart ayı</w:t>
      </w:r>
      <w:r w:rsidR="00FD3FC1">
        <w:rPr>
          <w:sz w:val="24"/>
          <w:szCs w:val="24"/>
        </w:rPr>
        <w:t>nda da benzer bir açılma planı uygulan</w:t>
      </w:r>
      <w:r>
        <w:rPr>
          <w:sz w:val="24"/>
          <w:szCs w:val="24"/>
        </w:rPr>
        <w:t>maktadır. Şubat ayında 8 ve 12. Sınıflar için sınav kursları açılmış</w:t>
      </w:r>
      <w:r w:rsidR="00761344">
        <w:rPr>
          <w:sz w:val="24"/>
          <w:szCs w:val="24"/>
        </w:rPr>
        <w:t>,</w:t>
      </w:r>
      <w:r>
        <w:rPr>
          <w:sz w:val="24"/>
          <w:szCs w:val="24"/>
        </w:rPr>
        <w:t xml:space="preserve"> Mart ayında da vaka sayılarına göre okulların açılması planlanmaktadır. </w:t>
      </w:r>
      <w:r w:rsidR="7E60F258" w:rsidRPr="4B0E2DF7">
        <w:rPr>
          <w:sz w:val="24"/>
          <w:szCs w:val="24"/>
        </w:rPr>
        <w:t xml:space="preserve">İzmir depremi ve 29 Ekim </w:t>
      </w:r>
      <w:r w:rsidR="064FC7DF" w:rsidRPr="4B0E2DF7">
        <w:rPr>
          <w:sz w:val="24"/>
          <w:szCs w:val="24"/>
        </w:rPr>
        <w:t xml:space="preserve">4 günlük tatilinin Ege ve Akdeniz illerindeki artış ile uyumlu olduğu dikkati çekmektedir. </w:t>
      </w:r>
      <w:r w:rsidR="7740E165" w:rsidRPr="4B0E2DF7">
        <w:rPr>
          <w:sz w:val="24"/>
          <w:szCs w:val="24"/>
        </w:rPr>
        <w:t xml:space="preserve">Tüm bu yerel salgın </w:t>
      </w:r>
      <w:r w:rsidR="6C54D5A0" w:rsidRPr="4B0E2DF7">
        <w:rPr>
          <w:sz w:val="24"/>
          <w:szCs w:val="24"/>
        </w:rPr>
        <w:t>dinamiklerinin</w:t>
      </w:r>
      <w:r w:rsidR="7740E165" w:rsidRPr="4B0E2DF7">
        <w:rPr>
          <w:sz w:val="24"/>
          <w:szCs w:val="24"/>
        </w:rPr>
        <w:t xml:space="preserve"> sahada çalışan aile hekimleri ile birlikte belirlenmesi, salgının seyrini anlamamızı ve uygun müdahale yolları bulmamızı sağlayacaktır.</w:t>
      </w:r>
    </w:p>
    <w:p w14:paraId="4380EB8A" w14:textId="2F23F332" w:rsidR="0037338F" w:rsidRPr="0037338F" w:rsidRDefault="0037338F" w:rsidP="0037338F">
      <w:pPr>
        <w:pStyle w:val="Balk1"/>
        <w:jc w:val="center"/>
        <w:rPr>
          <w:rFonts w:ascii="Calibri Light" w:eastAsia="Calibri Light" w:hAnsi="Calibri Light" w:cs="Calibri Light"/>
          <w:b/>
          <w:bCs/>
          <w:color w:val="000000" w:themeColor="text1"/>
          <w:sz w:val="40"/>
          <w:szCs w:val="40"/>
        </w:rPr>
      </w:pPr>
      <w:r w:rsidRPr="0037338F">
        <w:rPr>
          <w:rFonts w:ascii="Calibri Light" w:eastAsia="Calibri Light" w:hAnsi="Calibri Light" w:cs="Calibri Light"/>
          <w:b/>
          <w:bCs/>
          <w:color w:val="000000" w:themeColor="text1"/>
          <w:sz w:val="40"/>
          <w:szCs w:val="40"/>
        </w:rPr>
        <w:t>Yaygın aşılama, aşı kampanyası olarak yapılmadığı için tereddütlü olanların aşılanmama riskleri yüksektir</w:t>
      </w:r>
    </w:p>
    <w:p w14:paraId="667A748A" w14:textId="6947E0B4" w:rsidR="008F7CCF" w:rsidRPr="0037338F" w:rsidRDefault="008F7CCF" w:rsidP="0037338F">
      <w:pPr>
        <w:pStyle w:val="Balk1"/>
        <w:jc w:val="center"/>
        <w:rPr>
          <w:rFonts w:ascii="Calibri Light" w:eastAsia="Calibri Light" w:hAnsi="Calibri Light" w:cs="Calibri Light"/>
          <w:b/>
          <w:bCs/>
          <w:color w:val="000000" w:themeColor="text1"/>
          <w:sz w:val="40"/>
          <w:szCs w:val="40"/>
        </w:rPr>
      </w:pPr>
      <w:r w:rsidRPr="0037338F">
        <w:rPr>
          <w:rFonts w:ascii="Calibri Light" w:eastAsia="Calibri Light" w:hAnsi="Calibri Light" w:cs="Calibri Light"/>
          <w:b/>
          <w:bCs/>
          <w:color w:val="000000" w:themeColor="text1"/>
          <w:sz w:val="40"/>
          <w:szCs w:val="40"/>
        </w:rPr>
        <w:t>Yeni bir dalgaya karşı halen bağışık değiliz.</w:t>
      </w:r>
    </w:p>
    <w:p w14:paraId="05845AA5" w14:textId="0343CD35" w:rsidR="00A6613D" w:rsidRPr="00A6613D" w:rsidRDefault="17E9108C" w:rsidP="0037338F">
      <w:pPr>
        <w:ind w:firstLine="708"/>
      </w:pPr>
      <w:r>
        <w:t xml:space="preserve">Anket çalışmalarınıza göre </w:t>
      </w:r>
      <w:r w:rsidRPr="17E9108C">
        <w:rPr>
          <w:sz w:val="24"/>
          <w:szCs w:val="24"/>
        </w:rPr>
        <w:t>2020 Sonbahar döneminde 3 milyona yakın kişide COVID-19 tespit edildiğini söylemek mümkündür. 65 yaş üstü nüfus 15 Şubat 2021’den itibaren aşılanmaya başlamış ve iki doz aşılanan kişi sayısı 1 milyonu henüz geçmiştir. Aşılanabilecek hedef nüfus genişledikçe aşılanan sayısı artacaktır ancak hâlihazırda aşıladığımız 65 yaş üstü nüfusun dahi iki doz aşısı Nisan ayından erken tamamlanmayacak gibidir. Yaygın aşılama, aşı kampanyası olarak yapılmadığı için tereddütlü olanların aşılanmama riskleri yüksektir.</w:t>
      </w:r>
    </w:p>
    <w:p w14:paraId="3CAD371C" w14:textId="77777777" w:rsidR="008F7CCF" w:rsidRPr="00861C36" w:rsidRDefault="008F7CCF" w:rsidP="008F7CCF">
      <w:pPr>
        <w:rPr>
          <w:b/>
        </w:rPr>
      </w:pPr>
      <w:r w:rsidRPr="00861C36">
        <w:rPr>
          <w:b/>
        </w:rPr>
        <w:t>Aile Hekimi Başına PCR+ Vaka Ortalamalarının Aylara Göre Değişimi</w:t>
      </w:r>
    </w:p>
    <w:tbl>
      <w:tblPr>
        <w:tblStyle w:val="DzTablo51"/>
        <w:tblW w:w="0" w:type="auto"/>
        <w:tblLook w:val="04A0" w:firstRow="1" w:lastRow="0" w:firstColumn="1" w:lastColumn="0" w:noHBand="0" w:noVBand="1"/>
      </w:tblPr>
      <w:tblGrid>
        <w:gridCol w:w="1000"/>
        <w:gridCol w:w="1000"/>
        <w:gridCol w:w="1050"/>
        <w:gridCol w:w="1000"/>
        <w:gridCol w:w="990"/>
        <w:gridCol w:w="999"/>
        <w:gridCol w:w="993"/>
        <w:gridCol w:w="997"/>
        <w:gridCol w:w="997"/>
      </w:tblGrid>
      <w:tr w:rsidR="008F7CCF" w:rsidRPr="00861C36" w14:paraId="21CE1301" w14:textId="77777777" w:rsidTr="00726F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0" w:type="dxa"/>
          </w:tcPr>
          <w:p w14:paraId="5C280FDA" w14:textId="77777777" w:rsidR="008F7CCF" w:rsidRPr="00861C36" w:rsidRDefault="008F7CCF" w:rsidP="00726F75">
            <w:pPr>
              <w:rPr>
                <w:sz w:val="22"/>
              </w:rPr>
            </w:pPr>
          </w:p>
        </w:tc>
        <w:tc>
          <w:tcPr>
            <w:tcW w:w="1000" w:type="dxa"/>
          </w:tcPr>
          <w:p w14:paraId="07F50081" w14:textId="77777777" w:rsidR="008F7CCF" w:rsidRPr="00861C36" w:rsidRDefault="008F7CCF"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 xml:space="preserve">Türkiye </w:t>
            </w:r>
          </w:p>
        </w:tc>
        <w:tc>
          <w:tcPr>
            <w:tcW w:w="1050" w:type="dxa"/>
          </w:tcPr>
          <w:p w14:paraId="5D211453" w14:textId="77777777" w:rsidR="008F7CCF" w:rsidRPr="00861C36" w:rsidRDefault="008F7CCF"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İstanbul</w:t>
            </w:r>
          </w:p>
        </w:tc>
        <w:tc>
          <w:tcPr>
            <w:tcW w:w="1000" w:type="dxa"/>
          </w:tcPr>
          <w:p w14:paraId="5915AE95" w14:textId="77777777" w:rsidR="008F7CCF" w:rsidRPr="00861C36" w:rsidRDefault="008F7CCF"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Ankara</w:t>
            </w:r>
          </w:p>
        </w:tc>
        <w:tc>
          <w:tcPr>
            <w:tcW w:w="990" w:type="dxa"/>
          </w:tcPr>
          <w:p w14:paraId="2FD782B1" w14:textId="77777777" w:rsidR="008F7CCF" w:rsidRPr="00861C36" w:rsidRDefault="008F7CCF"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İzmir</w:t>
            </w:r>
          </w:p>
        </w:tc>
        <w:tc>
          <w:tcPr>
            <w:tcW w:w="999" w:type="dxa"/>
          </w:tcPr>
          <w:p w14:paraId="79BD7DBD" w14:textId="77777777" w:rsidR="008F7CCF" w:rsidRPr="00861C36" w:rsidRDefault="008F7CCF"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Mersin</w:t>
            </w:r>
          </w:p>
        </w:tc>
        <w:tc>
          <w:tcPr>
            <w:tcW w:w="993" w:type="dxa"/>
          </w:tcPr>
          <w:p w14:paraId="758DB9C3" w14:textId="77777777" w:rsidR="008F7CCF" w:rsidRPr="00861C36" w:rsidRDefault="008F7CCF"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Bursa</w:t>
            </w:r>
          </w:p>
        </w:tc>
        <w:tc>
          <w:tcPr>
            <w:tcW w:w="997" w:type="dxa"/>
          </w:tcPr>
          <w:p w14:paraId="591C62A7" w14:textId="77777777" w:rsidR="008F7CCF" w:rsidRPr="00861C36" w:rsidRDefault="008F7CCF"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Muğla</w:t>
            </w:r>
          </w:p>
        </w:tc>
        <w:tc>
          <w:tcPr>
            <w:tcW w:w="997" w:type="dxa"/>
          </w:tcPr>
          <w:p w14:paraId="31018167" w14:textId="77777777" w:rsidR="008F7CCF" w:rsidRPr="00861C36" w:rsidRDefault="008F7CCF"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Adana</w:t>
            </w:r>
          </w:p>
        </w:tc>
      </w:tr>
      <w:tr w:rsidR="008F7CCF" w:rsidRPr="00861C36" w14:paraId="73254767" w14:textId="77777777" w:rsidTr="00726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tcPr>
          <w:p w14:paraId="79BBC4E2" w14:textId="77777777" w:rsidR="008F7CCF" w:rsidRPr="00861C36" w:rsidRDefault="008F7CCF" w:rsidP="00726F75">
            <w:pPr>
              <w:rPr>
                <w:sz w:val="22"/>
              </w:rPr>
            </w:pPr>
            <w:r w:rsidRPr="00861C36">
              <w:rPr>
                <w:sz w:val="22"/>
              </w:rPr>
              <w:t>EYLÜL*</w:t>
            </w:r>
          </w:p>
        </w:tc>
        <w:tc>
          <w:tcPr>
            <w:tcW w:w="1000" w:type="dxa"/>
          </w:tcPr>
          <w:p w14:paraId="337D02CB"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8,5</w:t>
            </w:r>
          </w:p>
        </w:tc>
        <w:tc>
          <w:tcPr>
            <w:tcW w:w="1050" w:type="dxa"/>
          </w:tcPr>
          <w:p w14:paraId="5DE106C7"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6,38</w:t>
            </w:r>
          </w:p>
        </w:tc>
        <w:tc>
          <w:tcPr>
            <w:tcW w:w="1000" w:type="dxa"/>
          </w:tcPr>
          <w:p w14:paraId="1CCDE2C0"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22,58</w:t>
            </w:r>
          </w:p>
        </w:tc>
        <w:tc>
          <w:tcPr>
            <w:tcW w:w="990" w:type="dxa"/>
          </w:tcPr>
          <w:p w14:paraId="2180AD27"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5,07</w:t>
            </w:r>
          </w:p>
        </w:tc>
        <w:tc>
          <w:tcPr>
            <w:tcW w:w="999" w:type="dxa"/>
          </w:tcPr>
          <w:p w14:paraId="607F7CFE"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5,62</w:t>
            </w:r>
          </w:p>
        </w:tc>
        <w:tc>
          <w:tcPr>
            <w:tcW w:w="993" w:type="dxa"/>
          </w:tcPr>
          <w:p w14:paraId="15EB1596"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6,06</w:t>
            </w:r>
          </w:p>
        </w:tc>
        <w:tc>
          <w:tcPr>
            <w:tcW w:w="997" w:type="dxa"/>
          </w:tcPr>
          <w:p w14:paraId="76A7D1E3"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3,82</w:t>
            </w:r>
          </w:p>
        </w:tc>
        <w:tc>
          <w:tcPr>
            <w:tcW w:w="997" w:type="dxa"/>
          </w:tcPr>
          <w:p w14:paraId="1F2BECB9"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7,6</w:t>
            </w:r>
          </w:p>
        </w:tc>
      </w:tr>
      <w:tr w:rsidR="008F7CCF" w:rsidRPr="00861C36" w14:paraId="30B3510E" w14:textId="77777777" w:rsidTr="00726F75">
        <w:tc>
          <w:tcPr>
            <w:cnfStyle w:val="001000000000" w:firstRow="0" w:lastRow="0" w:firstColumn="1" w:lastColumn="0" w:oddVBand="0" w:evenVBand="0" w:oddHBand="0" w:evenHBand="0" w:firstRowFirstColumn="0" w:firstRowLastColumn="0" w:lastRowFirstColumn="0" w:lastRowLastColumn="0"/>
            <w:tcW w:w="1000" w:type="dxa"/>
          </w:tcPr>
          <w:p w14:paraId="78311E38" w14:textId="77777777" w:rsidR="008F7CCF" w:rsidRPr="00861C36" w:rsidRDefault="008F7CCF" w:rsidP="00726F75">
            <w:pPr>
              <w:rPr>
                <w:sz w:val="22"/>
              </w:rPr>
            </w:pPr>
            <w:r w:rsidRPr="00861C36">
              <w:rPr>
                <w:sz w:val="22"/>
              </w:rPr>
              <w:t>EKİM</w:t>
            </w:r>
          </w:p>
        </w:tc>
        <w:tc>
          <w:tcPr>
            <w:tcW w:w="1000" w:type="dxa"/>
          </w:tcPr>
          <w:p w14:paraId="0F614874"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6,53</w:t>
            </w:r>
          </w:p>
        </w:tc>
        <w:tc>
          <w:tcPr>
            <w:tcW w:w="1050" w:type="dxa"/>
          </w:tcPr>
          <w:p w14:paraId="2225323B"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7,06</w:t>
            </w:r>
          </w:p>
        </w:tc>
        <w:tc>
          <w:tcPr>
            <w:tcW w:w="1000" w:type="dxa"/>
          </w:tcPr>
          <w:p w14:paraId="0804BBBB"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12,11</w:t>
            </w:r>
          </w:p>
        </w:tc>
        <w:tc>
          <w:tcPr>
            <w:tcW w:w="990" w:type="dxa"/>
          </w:tcPr>
          <w:p w14:paraId="38A2B48C"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3,64</w:t>
            </w:r>
          </w:p>
        </w:tc>
        <w:tc>
          <w:tcPr>
            <w:tcW w:w="999" w:type="dxa"/>
          </w:tcPr>
          <w:p w14:paraId="54F540DD"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3,12</w:t>
            </w:r>
          </w:p>
        </w:tc>
        <w:tc>
          <w:tcPr>
            <w:tcW w:w="993" w:type="dxa"/>
          </w:tcPr>
          <w:p w14:paraId="5FC64E9A"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7,1</w:t>
            </w:r>
          </w:p>
        </w:tc>
        <w:tc>
          <w:tcPr>
            <w:tcW w:w="997" w:type="dxa"/>
          </w:tcPr>
          <w:p w14:paraId="55C24E80"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1,73</w:t>
            </w:r>
          </w:p>
        </w:tc>
        <w:tc>
          <w:tcPr>
            <w:tcW w:w="997" w:type="dxa"/>
          </w:tcPr>
          <w:p w14:paraId="1A4A5533"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4</w:t>
            </w:r>
          </w:p>
        </w:tc>
      </w:tr>
      <w:tr w:rsidR="008F7CCF" w:rsidRPr="00861C36" w14:paraId="2C3C3A38" w14:textId="77777777" w:rsidTr="00726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tcPr>
          <w:p w14:paraId="6A396385" w14:textId="77777777" w:rsidR="008F7CCF" w:rsidRPr="00861C36" w:rsidRDefault="008F7CCF" w:rsidP="00726F75">
            <w:pPr>
              <w:rPr>
                <w:sz w:val="22"/>
              </w:rPr>
            </w:pPr>
            <w:r w:rsidRPr="00861C36">
              <w:rPr>
                <w:sz w:val="22"/>
              </w:rPr>
              <w:t>KASIM</w:t>
            </w:r>
          </w:p>
        </w:tc>
        <w:tc>
          <w:tcPr>
            <w:tcW w:w="1000" w:type="dxa"/>
          </w:tcPr>
          <w:p w14:paraId="36ABD290"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19,79</w:t>
            </w:r>
          </w:p>
        </w:tc>
        <w:tc>
          <w:tcPr>
            <w:tcW w:w="1050" w:type="dxa"/>
          </w:tcPr>
          <w:p w14:paraId="78B9B1B4"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31,12</w:t>
            </w:r>
          </w:p>
        </w:tc>
        <w:tc>
          <w:tcPr>
            <w:tcW w:w="1000" w:type="dxa"/>
          </w:tcPr>
          <w:p w14:paraId="06E34CF7"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23,95</w:t>
            </w:r>
          </w:p>
        </w:tc>
        <w:tc>
          <w:tcPr>
            <w:tcW w:w="990" w:type="dxa"/>
          </w:tcPr>
          <w:p w14:paraId="590C5BE6"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14,2</w:t>
            </w:r>
          </w:p>
        </w:tc>
        <w:tc>
          <w:tcPr>
            <w:tcW w:w="999" w:type="dxa"/>
          </w:tcPr>
          <w:p w14:paraId="4A2E5AEC"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5,5</w:t>
            </w:r>
          </w:p>
        </w:tc>
        <w:tc>
          <w:tcPr>
            <w:tcW w:w="993" w:type="dxa"/>
          </w:tcPr>
          <w:p w14:paraId="6F62FDCD"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35,22</w:t>
            </w:r>
          </w:p>
        </w:tc>
        <w:tc>
          <w:tcPr>
            <w:tcW w:w="997" w:type="dxa"/>
          </w:tcPr>
          <w:p w14:paraId="43AF9B28"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7,3</w:t>
            </w:r>
          </w:p>
        </w:tc>
        <w:tc>
          <w:tcPr>
            <w:tcW w:w="997" w:type="dxa"/>
          </w:tcPr>
          <w:p w14:paraId="42E026C5"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11,12</w:t>
            </w:r>
          </w:p>
        </w:tc>
      </w:tr>
      <w:tr w:rsidR="008F7CCF" w:rsidRPr="00861C36" w14:paraId="11FC44CC" w14:textId="77777777" w:rsidTr="00726F75">
        <w:tc>
          <w:tcPr>
            <w:cnfStyle w:val="001000000000" w:firstRow="0" w:lastRow="0" w:firstColumn="1" w:lastColumn="0" w:oddVBand="0" w:evenVBand="0" w:oddHBand="0" w:evenHBand="0" w:firstRowFirstColumn="0" w:firstRowLastColumn="0" w:lastRowFirstColumn="0" w:lastRowLastColumn="0"/>
            <w:tcW w:w="1000" w:type="dxa"/>
          </w:tcPr>
          <w:p w14:paraId="1D924A57" w14:textId="77777777" w:rsidR="008F7CCF" w:rsidRPr="00861C36" w:rsidRDefault="008F7CCF" w:rsidP="00726F75">
            <w:pPr>
              <w:rPr>
                <w:sz w:val="22"/>
              </w:rPr>
            </w:pPr>
            <w:r w:rsidRPr="00861C36">
              <w:rPr>
                <w:sz w:val="22"/>
              </w:rPr>
              <w:t>ARALIK</w:t>
            </w:r>
          </w:p>
        </w:tc>
        <w:tc>
          <w:tcPr>
            <w:tcW w:w="1000" w:type="dxa"/>
          </w:tcPr>
          <w:p w14:paraId="103AB6D6"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22,55</w:t>
            </w:r>
          </w:p>
        </w:tc>
        <w:tc>
          <w:tcPr>
            <w:tcW w:w="1050" w:type="dxa"/>
          </w:tcPr>
          <w:p w14:paraId="3784F14E"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21,69</w:t>
            </w:r>
          </w:p>
        </w:tc>
        <w:tc>
          <w:tcPr>
            <w:tcW w:w="1000" w:type="dxa"/>
          </w:tcPr>
          <w:p w14:paraId="022A14B5"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17,74</w:t>
            </w:r>
          </w:p>
        </w:tc>
        <w:tc>
          <w:tcPr>
            <w:tcW w:w="990" w:type="dxa"/>
          </w:tcPr>
          <w:p w14:paraId="23690F4A"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25,8</w:t>
            </w:r>
          </w:p>
        </w:tc>
        <w:tc>
          <w:tcPr>
            <w:tcW w:w="999" w:type="dxa"/>
          </w:tcPr>
          <w:p w14:paraId="107C51D2"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21,11</w:t>
            </w:r>
          </w:p>
        </w:tc>
        <w:tc>
          <w:tcPr>
            <w:tcW w:w="993" w:type="dxa"/>
          </w:tcPr>
          <w:p w14:paraId="0C5B97CB"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28,88</w:t>
            </w:r>
          </w:p>
        </w:tc>
        <w:tc>
          <w:tcPr>
            <w:tcW w:w="997" w:type="dxa"/>
          </w:tcPr>
          <w:p w14:paraId="30DB0A8F"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14,28</w:t>
            </w:r>
          </w:p>
        </w:tc>
        <w:tc>
          <w:tcPr>
            <w:tcW w:w="997" w:type="dxa"/>
          </w:tcPr>
          <w:p w14:paraId="5E30D22F" w14:textId="77777777"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rsidRPr="00861C36">
              <w:t>44,85</w:t>
            </w:r>
          </w:p>
        </w:tc>
      </w:tr>
      <w:tr w:rsidR="008F7CCF" w:rsidRPr="00861C36" w14:paraId="751C2CC1" w14:textId="77777777" w:rsidTr="00726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tcPr>
          <w:p w14:paraId="15E7F2EB" w14:textId="77777777" w:rsidR="008F7CCF" w:rsidRPr="00861C36" w:rsidRDefault="008F7CCF" w:rsidP="00726F75">
            <w:r w:rsidRPr="00861C36">
              <w:rPr>
                <w:sz w:val="22"/>
              </w:rPr>
              <w:t>OCAK</w:t>
            </w:r>
          </w:p>
        </w:tc>
        <w:tc>
          <w:tcPr>
            <w:tcW w:w="1000" w:type="dxa"/>
          </w:tcPr>
          <w:p w14:paraId="7E5EECAC"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3,95</w:t>
            </w:r>
          </w:p>
        </w:tc>
        <w:tc>
          <w:tcPr>
            <w:tcW w:w="1050" w:type="dxa"/>
          </w:tcPr>
          <w:p w14:paraId="1AAA7161"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4,09</w:t>
            </w:r>
          </w:p>
        </w:tc>
        <w:tc>
          <w:tcPr>
            <w:tcW w:w="1000" w:type="dxa"/>
          </w:tcPr>
          <w:p w14:paraId="17CC697D"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2,84</w:t>
            </w:r>
          </w:p>
        </w:tc>
        <w:tc>
          <w:tcPr>
            <w:tcW w:w="990" w:type="dxa"/>
          </w:tcPr>
          <w:p w14:paraId="17F78C52"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3,28</w:t>
            </w:r>
          </w:p>
        </w:tc>
        <w:tc>
          <w:tcPr>
            <w:tcW w:w="999" w:type="dxa"/>
          </w:tcPr>
          <w:p w14:paraId="0ECEEA34"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6,53</w:t>
            </w:r>
          </w:p>
        </w:tc>
        <w:tc>
          <w:tcPr>
            <w:tcW w:w="993" w:type="dxa"/>
          </w:tcPr>
          <w:p w14:paraId="32FB7A26"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3,38</w:t>
            </w:r>
          </w:p>
        </w:tc>
        <w:tc>
          <w:tcPr>
            <w:tcW w:w="997" w:type="dxa"/>
          </w:tcPr>
          <w:p w14:paraId="7489D28D"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2,8</w:t>
            </w:r>
          </w:p>
        </w:tc>
        <w:tc>
          <w:tcPr>
            <w:tcW w:w="997" w:type="dxa"/>
          </w:tcPr>
          <w:p w14:paraId="665F67C0" w14:textId="77777777" w:rsidR="008F7CCF" w:rsidRPr="00861C36" w:rsidRDefault="008F7CCF" w:rsidP="00726F75">
            <w:pPr>
              <w:cnfStyle w:val="000000100000" w:firstRow="0" w:lastRow="0" w:firstColumn="0" w:lastColumn="0" w:oddVBand="0" w:evenVBand="0" w:oddHBand="1" w:evenHBand="0" w:firstRowFirstColumn="0" w:firstRowLastColumn="0" w:lastRowFirstColumn="0" w:lastRowLastColumn="0"/>
            </w:pPr>
            <w:r w:rsidRPr="00861C36">
              <w:t>6,11</w:t>
            </w:r>
          </w:p>
        </w:tc>
      </w:tr>
      <w:tr w:rsidR="008F7CCF" w:rsidRPr="00861C36" w14:paraId="557A05BD" w14:textId="77777777" w:rsidTr="00726F75">
        <w:tc>
          <w:tcPr>
            <w:cnfStyle w:val="001000000000" w:firstRow="0" w:lastRow="0" w:firstColumn="1" w:lastColumn="0" w:oddVBand="0" w:evenVBand="0" w:oddHBand="0" w:evenHBand="0" w:firstRowFirstColumn="0" w:firstRowLastColumn="0" w:lastRowFirstColumn="0" w:lastRowLastColumn="0"/>
            <w:tcW w:w="1000" w:type="dxa"/>
          </w:tcPr>
          <w:p w14:paraId="71EAE411" w14:textId="65F30AB9" w:rsidR="008F7CCF" w:rsidRPr="008F7CCF" w:rsidRDefault="008F7CCF" w:rsidP="00726F75">
            <w:pPr>
              <w:rPr>
                <w:sz w:val="22"/>
              </w:rPr>
            </w:pPr>
            <w:r w:rsidRPr="008F7CCF">
              <w:rPr>
                <w:sz w:val="22"/>
              </w:rPr>
              <w:t>ŞUBAT</w:t>
            </w:r>
          </w:p>
        </w:tc>
        <w:tc>
          <w:tcPr>
            <w:tcW w:w="1000" w:type="dxa"/>
          </w:tcPr>
          <w:p w14:paraId="5B3C5D01" w14:textId="5D17D8ED" w:rsidR="008F7CCF" w:rsidRPr="00861C36" w:rsidRDefault="008F7CCF" w:rsidP="00726F75">
            <w:pPr>
              <w:cnfStyle w:val="000000000000" w:firstRow="0" w:lastRow="0" w:firstColumn="0" w:lastColumn="0" w:oddVBand="0" w:evenVBand="0" w:oddHBand="0" w:evenHBand="0" w:firstRowFirstColumn="0" w:firstRowLastColumn="0" w:lastRowFirstColumn="0" w:lastRowLastColumn="0"/>
            </w:pPr>
            <w:r>
              <w:t>2,93</w:t>
            </w:r>
          </w:p>
        </w:tc>
        <w:tc>
          <w:tcPr>
            <w:tcW w:w="1050" w:type="dxa"/>
          </w:tcPr>
          <w:p w14:paraId="35C8E0E1" w14:textId="5D78392B" w:rsidR="008F7CCF" w:rsidRPr="00861C36" w:rsidRDefault="007F4FF3" w:rsidP="00726F75">
            <w:pPr>
              <w:cnfStyle w:val="000000000000" w:firstRow="0" w:lastRow="0" w:firstColumn="0" w:lastColumn="0" w:oddVBand="0" w:evenVBand="0" w:oddHBand="0" w:evenHBand="0" w:firstRowFirstColumn="0" w:firstRowLastColumn="0" w:lastRowFirstColumn="0" w:lastRowLastColumn="0"/>
            </w:pPr>
            <w:r>
              <w:t>2,89</w:t>
            </w:r>
          </w:p>
        </w:tc>
        <w:tc>
          <w:tcPr>
            <w:tcW w:w="1000" w:type="dxa"/>
          </w:tcPr>
          <w:p w14:paraId="7667F8B1" w14:textId="21ADA03B" w:rsidR="008F7CCF" w:rsidRPr="00861C36" w:rsidRDefault="007F4FF3" w:rsidP="00726F75">
            <w:pPr>
              <w:cnfStyle w:val="000000000000" w:firstRow="0" w:lastRow="0" w:firstColumn="0" w:lastColumn="0" w:oddVBand="0" w:evenVBand="0" w:oddHBand="0" w:evenHBand="0" w:firstRowFirstColumn="0" w:firstRowLastColumn="0" w:lastRowFirstColumn="0" w:lastRowLastColumn="0"/>
            </w:pPr>
            <w:r>
              <w:t>1,47</w:t>
            </w:r>
          </w:p>
        </w:tc>
        <w:tc>
          <w:tcPr>
            <w:tcW w:w="990" w:type="dxa"/>
          </w:tcPr>
          <w:p w14:paraId="0DBCA028" w14:textId="1EF293BD" w:rsidR="008F7CCF" w:rsidRPr="00861C36" w:rsidRDefault="007F4FF3" w:rsidP="00726F75">
            <w:pPr>
              <w:cnfStyle w:val="000000000000" w:firstRow="0" w:lastRow="0" w:firstColumn="0" w:lastColumn="0" w:oddVBand="0" w:evenVBand="0" w:oddHBand="0" w:evenHBand="0" w:firstRowFirstColumn="0" w:firstRowLastColumn="0" w:lastRowFirstColumn="0" w:lastRowLastColumn="0"/>
            </w:pPr>
            <w:r>
              <w:t>1,78</w:t>
            </w:r>
          </w:p>
        </w:tc>
        <w:tc>
          <w:tcPr>
            <w:tcW w:w="999" w:type="dxa"/>
          </w:tcPr>
          <w:p w14:paraId="1858C9C5" w14:textId="10A7EFAF" w:rsidR="008F7CCF" w:rsidRPr="00861C36" w:rsidRDefault="007F4FF3" w:rsidP="00726F75">
            <w:pPr>
              <w:cnfStyle w:val="000000000000" w:firstRow="0" w:lastRow="0" w:firstColumn="0" w:lastColumn="0" w:oddVBand="0" w:evenVBand="0" w:oddHBand="0" w:evenHBand="0" w:firstRowFirstColumn="0" w:firstRowLastColumn="0" w:lastRowFirstColumn="0" w:lastRowLastColumn="0"/>
            </w:pPr>
            <w:r>
              <w:t>4,45</w:t>
            </w:r>
          </w:p>
        </w:tc>
        <w:tc>
          <w:tcPr>
            <w:tcW w:w="993" w:type="dxa"/>
          </w:tcPr>
          <w:p w14:paraId="214136A0" w14:textId="18EB7822" w:rsidR="008F7CCF" w:rsidRPr="00861C36" w:rsidRDefault="007F4FF3" w:rsidP="00726F75">
            <w:pPr>
              <w:cnfStyle w:val="000000000000" w:firstRow="0" w:lastRow="0" w:firstColumn="0" w:lastColumn="0" w:oddVBand="0" w:evenVBand="0" w:oddHBand="0" w:evenHBand="0" w:firstRowFirstColumn="0" w:firstRowLastColumn="0" w:lastRowFirstColumn="0" w:lastRowLastColumn="0"/>
            </w:pPr>
            <w:r>
              <w:t>2,72</w:t>
            </w:r>
          </w:p>
        </w:tc>
        <w:tc>
          <w:tcPr>
            <w:tcW w:w="997" w:type="dxa"/>
          </w:tcPr>
          <w:p w14:paraId="5DD96A78" w14:textId="79999AF2" w:rsidR="008F7CCF" w:rsidRPr="00861C36" w:rsidRDefault="00F31682" w:rsidP="00726F75">
            <w:pPr>
              <w:cnfStyle w:val="000000000000" w:firstRow="0" w:lastRow="0" w:firstColumn="0" w:lastColumn="0" w:oddVBand="0" w:evenVBand="0" w:oddHBand="0" w:evenHBand="0" w:firstRowFirstColumn="0" w:firstRowLastColumn="0" w:lastRowFirstColumn="0" w:lastRowLastColumn="0"/>
            </w:pPr>
            <w:r>
              <w:t>3,05</w:t>
            </w:r>
          </w:p>
        </w:tc>
        <w:tc>
          <w:tcPr>
            <w:tcW w:w="997" w:type="dxa"/>
          </w:tcPr>
          <w:p w14:paraId="78D66F55" w14:textId="3EC2751C" w:rsidR="008F7CCF" w:rsidRPr="00861C36" w:rsidRDefault="00F31682" w:rsidP="00726F75">
            <w:pPr>
              <w:cnfStyle w:val="000000000000" w:firstRow="0" w:lastRow="0" w:firstColumn="0" w:lastColumn="0" w:oddVBand="0" w:evenVBand="0" w:oddHBand="0" w:evenHBand="0" w:firstRowFirstColumn="0" w:firstRowLastColumn="0" w:lastRowFirstColumn="0" w:lastRowLastColumn="0"/>
            </w:pPr>
            <w:r>
              <w:t>3,36</w:t>
            </w:r>
          </w:p>
        </w:tc>
      </w:tr>
    </w:tbl>
    <w:p w14:paraId="54EDD98E" w14:textId="77777777" w:rsidR="008F7CCF" w:rsidRPr="00861C36" w:rsidRDefault="008F7CCF" w:rsidP="008F7CCF">
      <w:pPr>
        <w:rPr>
          <w:i/>
        </w:rPr>
      </w:pPr>
      <w:r w:rsidRPr="00861C36">
        <w:rPr>
          <w:i/>
        </w:rPr>
        <w:lastRenderedPageBreak/>
        <w:t xml:space="preserve"> Eylül ayında PCR+ karantina süresi 14 gün iken diğer aylarda 10 güne düşürülmüştür.</w:t>
      </w:r>
    </w:p>
    <w:p w14:paraId="1A966E17" w14:textId="414AF84F" w:rsidR="00CB0409" w:rsidRPr="00434FBD" w:rsidRDefault="00CB0409" w:rsidP="00434FBD">
      <w:pPr>
        <w:pStyle w:val="Balk1"/>
        <w:jc w:val="center"/>
        <w:rPr>
          <w:rFonts w:ascii="Calibri Light" w:eastAsia="Calibri Light" w:hAnsi="Calibri Light" w:cs="Calibri Light"/>
          <w:b/>
          <w:bCs/>
          <w:color w:val="000000" w:themeColor="text1"/>
          <w:sz w:val="40"/>
          <w:szCs w:val="40"/>
        </w:rPr>
      </w:pPr>
      <w:r w:rsidRPr="00434FBD">
        <w:rPr>
          <w:rFonts w:ascii="Calibri Light" w:eastAsia="Calibri Light" w:hAnsi="Calibri Light" w:cs="Calibri Light"/>
          <w:b/>
          <w:bCs/>
          <w:color w:val="000000" w:themeColor="text1"/>
          <w:sz w:val="40"/>
          <w:szCs w:val="40"/>
        </w:rPr>
        <w:t>Filyasyon</w:t>
      </w:r>
      <w:r w:rsidR="00A6613D">
        <w:rPr>
          <w:rFonts w:ascii="Calibri Light" w:eastAsia="Calibri Light" w:hAnsi="Calibri Light" w:cs="Calibri Light"/>
          <w:b/>
          <w:bCs/>
          <w:color w:val="000000" w:themeColor="text1"/>
          <w:sz w:val="40"/>
          <w:szCs w:val="40"/>
        </w:rPr>
        <w:t>da Tespit Edilen</w:t>
      </w:r>
      <w:r w:rsidRPr="00434FBD">
        <w:rPr>
          <w:rFonts w:ascii="Calibri Light" w:eastAsia="Calibri Light" w:hAnsi="Calibri Light" w:cs="Calibri Light"/>
          <w:b/>
          <w:bCs/>
          <w:color w:val="000000" w:themeColor="text1"/>
          <w:sz w:val="40"/>
          <w:szCs w:val="40"/>
        </w:rPr>
        <w:t xml:space="preserve"> </w:t>
      </w:r>
      <w:r w:rsidR="00A6613D">
        <w:rPr>
          <w:rFonts w:ascii="Calibri Light" w:eastAsia="Calibri Light" w:hAnsi="Calibri Light" w:cs="Calibri Light"/>
          <w:b/>
          <w:bCs/>
          <w:color w:val="000000" w:themeColor="text1"/>
          <w:sz w:val="40"/>
          <w:szCs w:val="40"/>
        </w:rPr>
        <w:t>Temaslı Sayısı Düşük Devam Ediyor</w:t>
      </w:r>
    </w:p>
    <w:p w14:paraId="5CA547C6" w14:textId="0076DC35" w:rsidR="00A6613D" w:rsidRPr="00861C36" w:rsidRDefault="17E9108C" w:rsidP="17E9108C">
      <w:pPr>
        <w:rPr>
          <w:sz w:val="24"/>
          <w:szCs w:val="24"/>
        </w:rPr>
      </w:pPr>
      <w:r w:rsidRPr="17E9108C">
        <w:rPr>
          <w:sz w:val="24"/>
          <w:szCs w:val="24"/>
        </w:rPr>
        <w:t>Ocak ayında olduğu gibi PCR+/toplam izlem hasta sayısındaki 1/3 oranı 1/2 seviyesine inmiş durumdadır. Bu oran daha önceki aylarda 1 hastaya 2 temaslı oranının altına hiç inmemişken iki aydır bu sayılarla devam etmektedir. Bulaşıcılık artışı ya da filyasyon eksikliğine işaret eden bu durum açılmalarla birlikte salgının devamı ve yayılması açısından risk oluşturabilir.</w:t>
      </w:r>
    </w:p>
    <w:p w14:paraId="4BBF5AA9" w14:textId="77777777" w:rsidR="00A6613D" w:rsidRPr="00861C36" w:rsidRDefault="00A6613D" w:rsidP="00A6613D">
      <w:pPr>
        <w:rPr>
          <w:b/>
          <w:bCs/>
        </w:rPr>
      </w:pPr>
      <w:r w:rsidRPr="00861C36">
        <w:rPr>
          <w:b/>
          <w:bCs/>
        </w:rPr>
        <w:t>Aile Hekimi Başına İzlemdeki (Tüm PCR+ ve Temaslılar) Ortalamalarının Aylara Göre Değişimi</w:t>
      </w:r>
    </w:p>
    <w:tbl>
      <w:tblPr>
        <w:tblStyle w:val="DzTablo51"/>
        <w:tblW w:w="0" w:type="auto"/>
        <w:tblLook w:val="04A0" w:firstRow="1" w:lastRow="0" w:firstColumn="1" w:lastColumn="0" w:noHBand="0" w:noVBand="1"/>
      </w:tblPr>
      <w:tblGrid>
        <w:gridCol w:w="1058"/>
        <w:gridCol w:w="1000"/>
        <w:gridCol w:w="1050"/>
        <w:gridCol w:w="1000"/>
        <w:gridCol w:w="990"/>
        <w:gridCol w:w="999"/>
        <w:gridCol w:w="993"/>
        <w:gridCol w:w="997"/>
        <w:gridCol w:w="997"/>
      </w:tblGrid>
      <w:tr w:rsidR="00A6613D" w:rsidRPr="00861C36" w14:paraId="06384F9A" w14:textId="77777777" w:rsidTr="00726F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0" w:type="dxa"/>
          </w:tcPr>
          <w:p w14:paraId="0705D62C" w14:textId="77777777" w:rsidR="00A6613D" w:rsidRPr="00861C36" w:rsidRDefault="00A6613D" w:rsidP="00726F75">
            <w:pPr>
              <w:rPr>
                <w:sz w:val="22"/>
              </w:rPr>
            </w:pPr>
          </w:p>
        </w:tc>
        <w:tc>
          <w:tcPr>
            <w:tcW w:w="1000" w:type="dxa"/>
          </w:tcPr>
          <w:p w14:paraId="05F6021F" w14:textId="77777777" w:rsidR="00A6613D" w:rsidRPr="00861C36" w:rsidRDefault="00A6613D"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 xml:space="preserve">Türkiye </w:t>
            </w:r>
          </w:p>
        </w:tc>
        <w:tc>
          <w:tcPr>
            <w:tcW w:w="1050" w:type="dxa"/>
          </w:tcPr>
          <w:p w14:paraId="49BC1236" w14:textId="77777777" w:rsidR="00A6613D" w:rsidRPr="00861C36" w:rsidRDefault="00A6613D"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İstanbul</w:t>
            </w:r>
          </w:p>
        </w:tc>
        <w:tc>
          <w:tcPr>
            <w:tcW w:w="1000" w:type="dxa"/>
          </w:tcPr>
          <w:p w14:paraId="4F138F3D" w14:textId="77777777" w:rsidR="00A6613D" w:rsidRPr="00861C36" w:rsidRDefault="00A6613D"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Ankara</w:t>
            </w:r>
          </w:p>
        </w:tc>
        <w:tc>
          <w:tcPr>
            <w:tcW w:w="990" w:type="dxa"/>
          </w:tcPr>
          <w:p w14:paraId="3C6AE709" w14:textId="77777777" w:rsidR="00A6613D" w:rsidRPr="00861C36" w:rsidRDefault="00A6613D"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İzmir</w:t>
            </w:r>
          </w:p>
        </w:tc>
        <w:tc>
          <w:tcPr>
            <w:tcW w:w="999" w:type="dxa"/>
          </w:tcPr>
          <w:p w14:paraId="6C2E0FDF" w14:textId="77777777" w:rsidR="00A6613D" w:rsidRPr="00861C36" w:rsidRDefault="00A6613D"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Mersin</w:t>
            </w:r>
          </w:p>
        </w:tc>
        <w:tc>
          <w:tcPr>
            <w:tcW w:w="993" w:type="dxa"/>
          </w:tcPr>
          <w:p w14:paraId="3E23C26B" w14:textId="77777777" w:rsidR="00A6613D" w:rsidRPr="00861C36" w:rsidRDefault="00A6613D"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Bursa</w:t>
            </w:r>
          </w:p>
        </w:tc>
        <w:tc>
          <w:tcPr>
            <w:tcW w:w="997" w:type="dxa"/>
          </w:tcPr>
          <w:p w14:paraId="7CE645A1" w14:textId="77777777" w:rsidR="00A6613D" w:rsidRPr="00861C36" w:rsidRDefault="00A6613D"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Muğla</w:t>
            </w:r>
          </w:p>
        </w:tc>
        <w:tc>
          <w:tcPr>
            <w:tcW w:w="997" w:type="dxa"/>
          </w:tcPr>
          <w:p w14:paraId="290A2BA0" w14:textId="77777777" w:rsidR="00A6613D" w:rsidRPr="00861C36" w:rsidRDefault="00A6613D" w:rsidP="00726F75">
            <w:pPr>
              <w:cnfStyle w:val="100000000000" w:firstRow="1" w:lastRow="0" w:firstColumn="0" w:lastColumn="0" w:oddVBand="0" w:evenVBand="0" w:oddHBand="0" w:evenHBand="0" w:firstRowFirstColumn="0" w:firstRowLastColumn="0" w:lastRowFirstColumn="0" w:lastRowLastColumn="0"/>
              <w:rPr>
                <w:sz w:val="22"/>
              </w:rPr>
            </w:pPr>
            <w:r w:rsidRPr="00861C36">
              <w:rPr>
                <w:sz w:val="22"/>
              </w:rPr>
              <w:t>Adana</w:t>
            </w:r>
          </w:p>
        </w:tc>
      </w:tr>
      <w:tr w:rsidR="00A6613D" w:rsidRPr="00861C36" w14:paraId="0F331C87" w14:textId="77777777" w:rsidTr="00726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tcPr>
          <w:p w14:paraId="39527C72" w14:textId="77777777" w:rsidR="00A6613D" w:rsidRPr="00861C36" w:rsidRDefault="00A6613D" w:rsidP="00726F75">
            <w:pPr>
              <w:rPr>
                <w:sz w:val="22"/>
              </w:rPr>
            </w:pPr>
            <w:r w:rsidRPr="00861C36">
              <w:rPr>
                <w:sz w:val="22"/>
              </w:rPr>
              <w:t>EYLÜL*</w:t>
            </w:r>
          </w:p>
        </w:tc>
        <w:tc>
          <w:tcPr>
            <w:tcW w:w="1000" w:type="dxa"/>
          </w:tcPr>
          <w:p w14:paraId="2C7CEF6A"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26,2</w:t>
            </w:r>
          </w:p>
        </w:tc>
        <w:tc>
          <w:tcPr>
            <w:tcW w:w="1050" w:type="dxa"/>
          </w:tcPr>
          <w:p w14:paraId="4FF992B8"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19,2</w:t>
            </w:r>
          </w:p>
        </w:tc>
        <w:tc>
          <w:tcPr>
            <w:tcW w:w="1000" w:type="dxa"/>
          </w:tcPr>
          <w:p w14:paraId="347E752F"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68,4</w:t>
            </w:r>
          </w:p>
        </w:tc>
        <w:tc>
          <w:tcPr>
            <w:tcW w:w="990" w:type="dxa"/>
          </w:tcPr>
          <w:p w14:paraId="72626BD4"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19,19</w:t>
            </w:r>
          </w:p>
        </w:tc>
        <w:tc>
          <w:tcPr>
            <w:tcW w:w="999" w:type="dxa"/>
          </w:tcPr>
          <w:p w14:paraId="44CFA977"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21,5</w:t>
            </w:r>
          </w:p>
        </w:tc>
        <w:tc>
          <w:tcPr>
            <w:tcW w:w="993" w:type="dxa"/>
          </w:tcPr>
          <w:p w14:paraId="6DA50109"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31</w:t>
            </w:r>
          </w:p>
        </w:tc>
        <w:tc>
          <w:tcPr>
            <w:tcW w:w="997" w:type="dxa"/>
          </w:tcPr>
          <w:p w14:paraId="6E25A90F"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8,94</w:t>
            </w:r>
          </w:p>
        </w:tc>
        <w:tc>
          <w:tcPr>
            <w:tcW w:w="997" w:type="dxa"/>
          </w:tcPr>
          <w:p w14:paraId="35D388C7"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32,9</w:t>
            </w:r>
          </w:p>
        </w:tc>
      </w:tr>
      <w:tr w:rsidR="00A6613D" w:rsidRPr="00861C36" w14:paraId="00A613AD" w14:textId="77777777" w:rsidTr="00726F75">
        <w:tc>
          <w:tcPr>
            <w:cnfStyle w:val="001000000000" w:firstRow="0" w:lastRow="0" w:firstColumn="1" w:lastColumn="0" w:oddVBand="0" w:evenVBand="0" w:oddHBand="0" w:evenHBand="0" w:firstRowFirstColumn="0" w:firstRowLastColumn="0" w:lastRowFirstColumn="0" w:lastRowLastColumn="0"/>
            <w:tcW w:w="1000" w:type="dxa"/>
          </w:tcPr>
          <w:p w14:paraId="36DA1F8A" w14:textId="77777777" w:rsidR="00A6613D" w:rsidRPr="00861C36" w:rsidRDefault="00A6613D" w:rsidP="00726F75">
            <w:pPr>
              <w:rPr>
                <w:sz w:val="22"/>
              </w:rPr>
            </w:pPr>
            <w:r w:rsidRPr="00861C36">
              <w:rPr>
                <w:sz w:val="22"/>
              </w:rPr>
              <w:t>EKİM</w:t>
            </w:r>
          </w:p>
        </w:tc>
        <w:tc>
          <w:tcPr>
            <w:tcW w:w="1000" w:type="dxa"/>
          </w:tcPr>
          <w:p w14:paraId="68F8C952"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20,95</w:t>
            </w:r>
          </w:p>
        </w:tc>
        <w:tc>
          <w:tcPr>
            <w:tcW w:w="1050" w:type="dxa"/>
          </w:tcPr>
          <w:p w14:paraId="2B5046FA"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21,35</w:t>
            </w:r>
          </w:p>
        </w:tc>
        <w:tc>
          <w:tcPr>
            <w:tcW w:w="1000" w:type="dxa"/>
          </w:tcPr>
          <w:p w14:paraId="41BFA5C9"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43,69</w:t>
            </w:r>
          </w:p>
        </w:tc>
        <w:tc>
          <w:tcPr>
            <w:tcW w:w="990" w:type="dxa"/>
          </w:tcPr>
          <w:p w14:paraId="7047D600"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15,5</w:t>
            </w:r>
          </w:p>
        </w:tc>
        <w:tc>
          <w:tcPr>
            <w:tcW w:w="999" w:type="dxa"/>
          </w:tcPr>
          <w:p w14:paraId="0EE9B0DE"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13,75</w:t>
            </w:r>
          </w:p>
        </w:tc>
        <w:tc>
          <w:tcPr>
            <w:tcW w:w="993" w:type="dxa"/>
          </w:tcPr>
          <w:p w14:paraId="3632F9A9"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27,4</w:t>
            </w:r>
          </w:p>
        </w:tc>
        <w:tc>
          <w:tcPr>
            <w:tcW w:w="997" w:type="dxa"/>
          </w:tcPr>
          <w:p w14:paraId="5CA08708"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7,06</w:t>
            </w:r>
          </w:p>
        </w:tc>
        <w:tc>
          <w:tcPr>
            <w:tcW w:w="997" w:type="dxa"/>
          </w:tcPr>
          <w:p w14:paraId="1569386B"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16</w:t>
            </w:r>
          </w:p>
        </w:tc>
      </w:tr>
      <w:tr w:rsidR="00A6613D" w:rsidRPr="00861C36" w14:paraId="0D3C318F" w14:textId="77777777" w:rsidTr="00726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tcPr>
          <w:p w14:paraId="7E4D8D2A" w14:textId="77777777" w:rsidR="00A6613D" w:rsidRPr="00861C36" w:rsidRDefault="00A6613D" w:rsidP="00726F75">
            <w:pPr>
              <w:rPr>
                <w:sz w:val="22"/>
              </w:rPr>
            </w:pPr>
            <w:r w:rsidRPr="00861C36">
              <w:rPr>
                <w:sz w:val="22"/>
              </w:rPr>
              <w:t>KASIM</w:t>
            </w:r>
          </w:p>
        </w:tc>
        <w:tc>
          <w:tcPr>
            <w:tcW w:w="1000" w:type="dxa"/>
          </w:tcPr>
          <w:p w14:paraId="002D82BE"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59,59</w:t>
            </w:r>
          </w:p>
        </w:tc>
        <w:tc>
          <w:tcPr>
            <w:tcW w:w="1050" w:type="dxa"/>
          </w:tcPr>
          <w:p w14:paraId="6CFD630D"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87,9</w:t>
            </w:r>
          </w:p>
        </w:tc>
        <w:tc>
          <w:tcPr>
            <w:tcW w:w="1000" w:type="dxa"/>
          </w:tcPr>
          <w:p w14:paraId="4FCDD41F"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65,48</w:t>
            </w:r>
          </w:p>
        </w:tc>
        <w:tc>
          <w:tcPr>
            <w:tcW w:w="990" w:type="dxa"/>
          </w:tcPr>
          <w:p w14:paraId="264F8ECB"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43,03</w:t>
            </w:r>
          </w:p>
        </w:tc>
        <w:tc>
          <w:tcPr>
            <w:tcW w:w="999" w:type="dxa"/>
          </w:tcPr>
          <w:p w14:paraId="5525B9F1"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19,5</w:t>
            </w:r>
          </w:p>
        </w:tc>
        <w:tc>
          <w:tcPr>
            <w:tcW w:w="993" w:type="dxa"/>
          </w:tcPr>
          <w:p w14:paraId="235B353C"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108,1</w:t>
            </w:r>
          </w:p>
        </w:tc>
        <w:tc>
          <w:tcPr>
            <w:tcW w:w="997" w:type="dxa"/>
          </w:tcPr>
          <w:p w14:paraId="7D15FABC"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27,2</w:t>
            </w:r>
          </w:p>
        </w:tc>
        <w:tc>
          <w:tcPr>
            <w:tcW w:w="997" w:type="dxa"/>
          </w:tcPr>
          <w:p w14:paraId="4F410A7D"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34,41</w:t>
            </w:r>
          </w:p>
        </w:tc>
      </w:tr>
      <w:tr w:rsidR="00A6613D" w:rsidRPr="00861C36" w14:paraId="5D89479E" w14:textId="77777777" w:rsidTr="00726F75">
        <w:tc>
          <w:tcPr>
            <w:cnfStyle w:val="001000000000" w:firstRow="0" w:lastRow="0" w:firstColumn="1" w:lastColumn="0" w:oddVBand="0" w:evenVBand="0" w:oddHBand="0" w:evenHBand="0" w:firstRowFirstColumn="0" w:firstRowLastColumn="0" w:lastRowFirstColumn="0" w:lastRowLastColumn="0"/>
            <w:tcW w:w="1000" w:type="dxa"/>
          </w:tcPr>
          <w:p w14:paraId="5945EDC0" w14:textId="77777777" w:rsidR="00A6613D" w:rsidRPr="00861C36" w:rsidRDefault="00A6613D" w:rsidP="00726F75">
            <w:pPr>
              <w:rPr>
                <w:sz w:val="22"/>
              </w:rPr>
            </w:pPr>
            <w:r w:rsidRPr="00861C36">
              <w:rPr>
                <w:sz w:val="22"/>
              </w:rPr>
              <w:t>ARALIK**</w:t>
            </w:r>
          </w:p>
        </w:tc>
        <w:tc>
          <w:tcPr>
            <w:tcW w:w="1000" w:type="dxa"/>
          </w:tcPr>
          <w:p w14:paraId="6ABEBE6E"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63,11</w:t>
            </w:r>
          </w:p>
        </w:tc>
        <w:tc>
          <w:tcPr>
            <w:tcW w:w="1050" w:type="dxa"/>
          </w:tcPr>
          <w:p w14:paraId="329C8071"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56,18</w:t>
            </w:r>
          </w:p>
        </w:tc>
        <w:tc>
          <w:tcPr>
            <w:tcW w:w="1000" w:type="dxa"/>
          </w:tcPr>
          <w:p w14:paraId="38F839E8"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48,38</w:t>
            </w:r>
          </w:p>
        </w:tc>
        <w:tc>
          <w:tcPr>
            <w:tcW w:w="990" w:type="dxa"/>
          </w:tcPr>
          <w:p w14:paraId="25D23E5E"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76,38</w:t>
            </w:r>
          </w:p>
        </w:tc>
        <w:tc>
          <w:tcPr>
            <w:tcW w:w="999" w:type="dxa"/>
          </w:tcPr>
          <w:p w14:paraId="0DAF61C3"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61,44</w:t>
            </w:r>
          </w:p>
        </w:tc>
        <w:tc>
          <w:tcPr>
            <w:tcW w:w="993" w:type="dxa"/>
          </w:tcPr>
          <w:p w14:paraId="1C461F81"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78,93</w:t>
            </w:r>
          </w:p>
        </w:tc>
        <w:tc>
          <w:tcPr>
            <w:tcW w:w="997" w:type="dxa"/>
          </w:tcPr>
          <w:p w14:paraId="49334B0A"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42,75</w:t>
            </w:r>
          </w:p>
        </w:tc>
        <w:tc>
          <w:tcPr>
            <w:tcW w:w="997" w:type="dxa"/>
          </w:tcPr>
          <w:p w14:paraId="4FD29ACB" w14:textId="77777777" w:rsidR="00A6613D" w:rsidRPr="00861C36" w:rsidRDefault="00A6613D" w:rsidP="00726F75">
            <w:pPr>
              <w:cnfStyle w:val="000000000000" w:firstRow="0" w:lastRow="0" w:firstColumn="0" w:lastColumn="0" w:oddVBand="0" w:evenVBand="0" w:oddHBand="0" w:evenHBand="0" w:firstRowFirstColumn="0" w:firstRowLastColumn="0" w:lastRowFirstColumn="0" w:lastRowLastColumn="0"/>
            </w:pPr>
            <w:r w:rsidRPr="00861C36">
              <w:t>114,08</w:t>
            </w:r>
          </w:p>
        </w:tc>
      </w:tr>
      <w:tr w:rsidR="00A6613D" w:rsidRPr="00861C36" w14:paraId="55871369" w14:textId="77777777" w:rsidTr="00726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tcPr>
          <w:p w14:paraId="768D6B7C" w14:textId="77777777" w:rsidR="00A6613D" w:rsidRPr="00861C36" w:rsidRDefault="00A6613D" w:rsidP="00726F75">
            <w:r w:rsidRPr="00861C36">
              <w:rPr>
                <w:sz w:val="22"/>
              </w:rPr>
              <w:t>OCAK</w:t>
            </w:r>
          </w:p>
        </w:tc>
        <w:tc>
          <w:tcPr>
            <w:tcW w:w="1000" w:type="dxa"/>
          </w:tcPr>
          <w:p w14:paraId="2A617440"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8,18</w:t>
            </w:r>
          </w:p>
        </w:tc>
        <w:tc>
          <w:tcPr>
            <w:tcW w:w="1050" w:type="dxa"/>
          </w:tcPr>
          <w:p w14:paraId="77B58CFE"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7,03</w:t>
            </w:r>
          </w:p>
        </w:tc>
        <w:tc>
          <w:tcPr>
            <w:tcW w:w="1000" w:type="dxa"/>
          </w:tcPr>
          <w:p w14:paraId="0AEEF300"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6,82</w:t>
            </w:r>
          </w:p>
        </w:tc>
        <w:tc>
          <w:tcPr>
            <w:tcW w:w="990" w:type="dxa"/>
          </w:tcPr>
          <w:p w14:paraId="0BECEAE5"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6,59</w:t>
            </w:r>
          </w:p>
        </w:tc>
        <w:tc>
          <w:tcPr>
            <w:tcW w:w="999" w:type="dxa"/>
          </w:tcPr>
          <w:p w14:paraId="1AFC06E5"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11,18</w:t>
            </w:r>
          </w:p>
        </w:tc>
        <w:tc>
          <w:tcPr>
            <w:tcW w:w="993" w:type="dxa"/>
          </w:tcPr>
          <w:p w14:paraId="51A13F67"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8,23</w:t>
            </w:r>
          </w:p>
        </w:tc>
        <w:tc>
          <w:tcPr>
            <w:tcW w:w="997" w:type="dxa"/>
          </w:tcPr>
          <w:p w14:paraId="320A45CF"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6,33</w:t>
            </w:r>
          </w:p>
        </w:tc>
        <w:tc>
          <w:tcPr>
            <w:tcW w:w="997" w:type="dxa"/>
          </w:tcPr>
          <w:p w14:paraId="4F24E58C" w14:textId="77777777" w:rsidR="00A6613D" w:rsidRPr="00861C36" w:rsidRDefault="00A6613D" w:rsidP="00726F75">
            <w:pPr>
              <w:cnfStyle w:val="000000100000" w:firstRow="0" w:lastRow="0" w:firstColumn="0" w:lastColumn="0" w:oddVBand="0" w:evenVBand="0" w:oddHBand="1" w:evenHBand="0" w:firstRowFirstColumn="0" w:firstRowLastColumn="0" w:lastRowFirstColumn="0" w:lastRowLastColumn="0"/>
            </w:pPr>
            <w:r w:rsidRPr="00861C36">
              <w:t>9,92</w:t>
            </w:r>
          </w:p>
        </w:tc>
      </w:tr>
      <w:tr w:rsidR="00D56A5D" w:rsidRPr="00861C36" w14:paraId="1F023131" w14:textId="77777777" w:rsidTr="00726F75">
        <w:tc>
          <w:tcPr>
            <w:cnfStyle w:val="001000000000" w:firstRow="0" w:lastRow="0" w:firstColumn="1" w:lastColumn="0" w:oddVBand="0" w:evenVBand="0" w:oddHBand="0" w:evenHBand="0" w:firstRowFirstColumn="0" w:firstRowLastColumn="0" w:lastRowFirstColumn="0" w:lastRowLastColumn="0"/>
            <w:tcW w:w="1000" w:type="dxa"/>
          </w:tcPr>
          <w:p w14:paraId="03A74433" w14:textId="74E63F6C" w:rsidR="00D56A5D" w:rsidRPr="00861C36" w:rsidRDefault="00D56A5D" w:rsidP="00726F75">
            <w:r w:rsidRPr="008F7CCF">
              <w:rPr>
                <w:sz w:val="22"/>
              </w:rPr>
              <w:t>ŞUBAT</w:t>
            </w:r>
          </w:p>
        </w:tc>
        <w:tc>
          <w:tcPr>
            <w:tcW w:w="1000" w:type="dxa"/>
          </w:tcPr>
          <w:p w14:paraId="42F00E2D" w14:textId="4931CC44" w:rsidR="00D56A5D" w:rsidRPr="00861C36" w:rsidRDefault="00D56A5D" w:rsidP="00726F75">
            <w:pPr>
              <w:cnfStyle w:val="000000000000" w:firstRow="0" w:lastRow="0" w:firstColumn="0" w:lastColumn="0" w:oddVBand="0" w:evenVBand="0" w:oddHBand="0" w:evenHBand="0" w:firstRowFirstColumn="0" w:firstRowLastColumn="0" w:lastRowFirstColumn="0" w:lastRowLastColumn="0"/>
            </w:pPr>
            <w:r>
              <w:t>6,06</w:t>
            </w:r>
          </w:p>
        </w:tc>
        <w:tc>
          <w:tcPr>
            <w:tcW w:w="1050" w:type="dxa"/>
          </w:tcPr>
          <w:p w14:paraId="0E5CB04A" w14:textId="1C432522" w:rsidR="00D56A5D" w:rsidRPr="00861C36" w:rsidRDefault="00D56A5D" w:rsidP="00726F75">
            <w:pPr>
              <w:cnfStyle w:val="000000000000" w:firstRow="0" w:lastRow="0" w:firstColumn="0" w:lastColumn="0" w:oddVBand="0" w:evenVBand="0" w:oddHBand="0" w:evenHBand="0" w:firstRowFirstColumn="0" w:firstRowLastColumn="0" w:lastRowFirstColumn="0" w:lastRowLastColumn="0"/>
            </w:pPr>
            <w:r>
              <w:t>5,46</w:t>
            </w:r>
          </w:p>
        </w:tc>
        <w:tc>
          <w:tcPr>
            <w:tcW w:w="1000" w:type="dxa"/>
          </w:tcPr>
          <w:p w14:paraId="14E3B57E" w14:textId="232BED8B" w:rsidR="00D56A5D" w:rsidRPr="00861C36" w:rsidRDefault="00D56A5D" w:rsidP="00726F75">
            <w:pPr>
              <w:cnfStyle w:val="000000000000" w:firstRow="0" w:lastRow="0" w:firstColumn="0" w:lastColumn="0" w:oddVBand="0" w:evenVBand="0" w:oddHBand="0" w:evenHBand="0" w:firstRowFirstColumn="0" w:firstRowLastColumn="0" w:lastRowFirstColumn="0" w:lastRowLastColumn="0"/>
            </w:pPr>
            <w:r>
              <w:t>2,62</w:t>
            </w:r>
          </w:p>
        </w:tc>
        <w:tc>
          <w:tcPr>
            <w:tcW w:w="990" w:type="dxa"/>
          </w:tcPr>
          <w:p w14:paraId="7EB6557F" w14:textId="3EC13C1D" w:rsidR="00D56A5D" w:rsidRPr="00861C36" w:rsidRDefault="00D56A5D" w:rsidP="00726F75">
            <w:pPr>
              <w:cnfStyle w:val="000000000000" w:firstRow="0" w:lastRow="0" w:firstColumn="0" w:lastColumn="0" w:oddVBand="0" w:evenVBand="0" w:oddHBand="0" w:evenHBand="0" w:firstRowFirstColumn="0" w:firstRowLastColumn="0" w:lastRowFirstColumn="0" w:lastRowLastColumn="0"/>
            </w:pPr>
            <w:r>
              <w:t>3,93</w:t>
            </w:r>
          </w:p>
        </w:tc>
        <w:tc>
          <w:tcPr>
            <w:tcW w:w="999" w:type="dxa"/>
          </w:tcPr>
          <w:p w14:paraId="33FAE837" w14:textId="2AC17F9D" w:rsidR="00D56A5D" w:rsidRPr="00861C36" w:rsidRDefault="00D56A5D" w:rsidP="00726F75">
            <w:pPr>
              <w:cnfStyle w:val="000000000000" w:firstRow="0" w:lastRow="0" w:firstColumn="0" w:lastColumn="0" w:oddVBand="0" w:evenVBand="0" w:oddHBand="0" w:evenHBand="0" w:firstRowFirstColumn="0" w:firstRowLastColumn="0" w:lastRowFirstColumn="0" w:lastRowLastColumn="0"/>
            </w:pPr>
            <w:r>
              <w:t>10,25</w:t>
            </w:r>
          </w:p>
        </w:tc>
        <w:tc>
          <w:tcPr>
            <w:tcW w:w="993" w:type="dxa"/>
          </w:tcPr>
          <w:p w14:paraId="3BAB6238" w14:textId="0A3373D2" w:rsidR="00D56A5D" w:rsidRPr="00861C36" w:rsidRDefault="00D56A5D" w:rsidP="00726F75">
            <w:pPr>
              <w:cnfStyle w:val="000000000000" w:firstRow="0" w:lastRow="0" w:firstColumn="0" w:lastColumn="0" w:oddVBand="0" w:evenVBand="0" w:oddHBand="0" w:evenHBand="0" w:firstRowFirstColumn="0" w:firstRowLastColumn="0" w:lastRowFirstColumn="0" w:lastRowLastColumn="0"/>
            </w:pPr>
            <w:r>
              <w:t>5,79</w:t>
            </w:r>
          </w:p>
        </w:tc>
        <w:tc>
          <w:tcPr>
            <w:tcW w:w="997" w:type="dxa"/>
          </w:tcPr>
          <w:p w14:paraId="38E3C8D3" w14:textId="1D067DDF" w:rsidR="00D56A5D" w:rsidRPr="00861C36" w:rsidRDefault="00D56A5D" w:rsidP="00726F75">
            <w:pPr>
              <w:cnfStyle w:val="000000000000" w:firstRow="0" w:lastRow="0" w:firstColumn="0" w:lastColumn="0" w:oddVBand="0" w:evenVBand="0" w:oddHBand="0" w:evenHBand="0" w:firstRowFirstColumn="0" w:firstRowLastColumn="0" w:lastRowFirstColumn="0" w:lastRowLastColumn="0"/>
            </w:pPr>
            <w:r>
              <w:t>9,11</w:t>
            </w:r>
          </w:p>
        </w:tc>
        <w:tc>
          <w:tcPr>
            <w:tcW w:w="997" w:type="dxa"/>
          </w:tcPr>
          <w:p w14:paraId="159C0F43" w14:textId="574CD0E5" w:rsidR="00D56A5D" w:rsidRPr="00861C36" w:rsidRDefault="00D56A5D" w:rsidP="00726F75">
            <w:pPr>
              <w:cnfStyle w:val="000000000000" w:firstRow="0" w:lastRow="0" w:firstColumn="0" w:lastColumn="0" w:oddVBand="0" w:evenVBand="0" w:oddHBand="0" w:evenHBand="0" w:firstRowFirstColumn="0" w:firstRowLastColumn="0" w:lastRowFirstColumn="0" w:lastRowLastColumn="0"/>
            </w:pPr>
            <w:r>
              <w:t>6,7</w:t>
            </w:r>
          </w:p>
        </w:tc>
      </w:tr>
    </w:tbl>
    <w:p w14:paraId="3A007E09" w14:textId="77777777" w:rsidR="00A6613D" w:rsidRPr="00861C36" w:rsidRDefault="00A6613D" w:rsidP="00A6613D">
      <w:pPr>
        <w:rPr>
          <w:i/>
        </w:rPr>
      </w:pPr>
      <w:r w:rsidRPr="00861C36">
        <w:rPr>
          <w:i/>
        </w:rPr>
        <w:t xml:space="preserve"> Eylül ayında PCR+ karantina süresi 14 gün iken diğer aylarda 10 güne düşürülmüştür. ** Aralık ayında temaslı karantina süresi 14 günden 10 güne düşürülmüştür.</w:t>
      </w:r>
    </w:p>
    <w:p w14:paraId="0CE853B1" w14:textId="0DD945FD" w:rsidR="1262EC46" w:rsidRPr="00434FBD" w:rsidRDefault="00D56A5D" w:rsidP="00434FBD">
      <w:pPr>
        <w:pStyle w:val="Balk1"/>
        <w:jc w:val="center"/>
        <w:rPr>
          <w:rFonts w:ascii="Calibri Light" w:eastAsia="Calibri Light" w:hAnsi="Calibri Light" w:cs="Calibri Light"/>
          <w:b/>
          <w:bCs/>
          <w:color w:val="000000" w:themeColor="text1"/>
          <w:sz w:val="40"/>
          <w:szCs w:val="40"/>
        </w:rPr>
      </w:pPr>
      <w:r>
        <w:rPr>
          <w:rFonts w:ascii="Calibri Light" w:eastAsia="Calibri Light" w:hAnsi="Calibri Light" w:cs="Calibri Light"/>
          <w:b/>
          <w:bCs/>
          <w:color w:val="000000" w:themeColor="text1"/>
          <w:sz w:val="40"/>
          <w:szCs w:val="40"/>
        </w:rPr>
        <w:t xml:space="preserve">İzlemler Devam Ediyor </w:t>
      </w:r>
      <w:r w:rsidR="0007029B">
        <w:rPr>
          <w:rFonts w:ascii="Calibri Light" w:eastAsia="Calibri Light" w:hAnsi="Calibri Light" w:cs="Calibri Light"/>
          <w:b/>
          <w:bCs/>
          <w:color w:val="000000" w:themeColor="text1"/>
          <w:sz w:val="40"/>
          <w:szCs w:val="40"/>
        </w:rPr>
        <w:t>Ek Ödeme</w:t>
      </w:r>
      <w:r>
        <w:rPr>
          <w:rFonts w:ascii="Calibri Light" w:eastAsia="Calibri Light" w:hAnsi="Calibri Light" w:cs="Calibri Light"/>
          <w:b/>
          <w:bCs/>
          <w:color w:val="000000" w:themeColor="text1"/>
          <w:sz w:val="40"/>
          <w:szCs w:val="40"/>
        </w:rPr>
        <w:t xml:space="preserve"> Bitti</w:t>
      </w:r>
    </w:p>
    <w:p w14:paraId="5D49958A" w14:textId="43AA0805" w:rsidR="00EA6AA9" w:rsidRPr="00434FBD" w:rsidRDefault="17E9108C" w:rsidP="47108F29">
      <w:pPr>
        <w:rPr>
          <w:sz w:val="24"/>
          <w:szCs w:val="24"/>
        </w:rPr>
      </w:pPr>
      <w:r w:rsidRPr="17E9108C">
        <w:rPr>
          <w:sz w:val="24"/>
          <w:szCs w:val="24"/>
        </w:rPr>
        <w:t xml:space="preserve">Sağlık Bakanı Aile Hekimlerine ek ödeme verileceğini söyleyerek bizi toplumun önünde ödeme konuşur duruma itmiştir. Ancak izlemler devam etmesine rağmen ek ödeme sorunları devam etmekte ve 3 aydan sonra bir ek ödeme yapılıp yapılmayacağı belirsiz olarak bırakılmaktadır. Ancak Aile Hekimleri izlemlerini yapmaya devam etmektedir.  </w:t>
      </w:r>
    </w:p>
    <w:p w14:paraId="21803B72" w14:textId="062B1721" w:rsidR="528AC1EC" w:rsidRPr="00434FBD" w:rsidRDefault="002761D2" w:rsidP="00434FBD">
      <w:pPr>
        <w:pStyle w:val="Balk1"/>
        <w:jc w:val="center"/>
        <w:rPr>
          <w:rFonts w:ascii="Calibri Light" w:eastAsia="Calibri Light" w:hAnsi="Calibri Light" w:cs="Calibri Light"/>
          <w:b/>
          <w:bCs/>
          <w:color w:val="000000" w:themeColor="text1"/>
          <w:sz w:val="40"/>
          <w:szCs w:val="40"/>
        </w:rPr>
      </w:pPr>
      <w:r>
        <w:rPr>
          <w:rFonts w:ascii="Calibri Light" w:eastAsia="Calibri Light" w:hAnsi="Calibri Light" w:cs="Calibri Light"/>
          <w:b/>
          <w:bCs/>
          <w:color w:val="000000" w:themeColor="text1"/>
          <w:sz w:val="40"/>
          <w:szCs w:val="40"/>
        </w:rPr>
        <w:t xml:space="preserve">4 Aile Hekiminden Birinin Çalıştığı </w:t>
      </w:r>
      <w:r w:rsidR="528AC1EC" w:rsidRPr="00434FBD">
        <w:rPr>
          <w:rFonts w:ascii="Calibri Light" w:eastAsia="Calibri Light" w:hAnsi="Calibri Light" w:cs="Calibri Light"/>
          <w:b/>
          <w:bCs/>
          <w:color w:val="000000" w:themeColor="text1"/>
          <w:sz w:val="40"/>
          <w:szCs w:val="40"/>
        </w:rPr>
        <w:t>Aile Sağlığı Merkezlerin</w:t>
      </w:r>
      <w:r>
        <w:rPr>
          <w:rFonts w:ascii="Calibri Light" w:eastAsia="Calibri Light" w:hAnsi="Calibri Light" w:cs="Calibri Light"/>
          <w:b/>
          <w:bCs/>
          <w:color w:val="000000" w:themeColor="text1"/>
          <w:sz w:val="40"/>
          <w:szCs w:val="40"/>
        </w:rPr>
        <w:t>de</w:t>
      </w:r>
      <w:r w:rsidR="528AC1EC" w:rsidRPr="00434FBD">
        <w:rPr>
          <w:rFonts w:ascii="Calibri Light" w:eastAsia="Calibri Light" w:hAnsi="Calibri Light" w:cs="Calibri Light"/>
          <w:b/>
          <w:bCs/>
          <w:color w:val="000000" w:themeColor="text1"/>
          <w:sz w:val="40"/>
          <w:szCs w:val="40"/>
        </w:rPr>
        <w:t xml:space="preserve"> COVID</w:t>
      </w:r>
      <w:r>
        <w:rPr>
          <w:rFonts w:ascii="Calibri Light" w:eastAsia="Calibri Light" w:hAnsi="Calibri Light" w:cs="Calibri Light"/>
          <w:b/>
          <w:bCs/>
          <w:color w:val="000000" w:themeColor="text1"/>
          <w:sz w:val="40"/>
          <w:szCs w:val="40"/>
        </w:rPr>
        <w:t>-</w:t>
      </w:r>
      <w:r w:rsidR="528AC1EC" w:rsidRPr="00434FBD">
        <w:rPr>
          <w:rFonts w:ascii="Calibri Light" w:eastAsia="Calibri Light" w:hAnsi="Calibri Light" w:cs="Calibri Light"/>
          <w:b/>
          <w:bCs/>
          <w:color w:val="000000" w:themeColor="text1"/>
          <w:sz w:val="40"/>
          <w:szCs w:val="40"/>
        </w:rPr>
        <w:t>19 Görüldü.</w:t>
      </w:r>
    </w:p>
    <w:p w14:paraId="69DEAED9" w14:textId="11AB3CD3" w:rsidR="00275090" w:rsidRPr="00F95B02" w:rsidRDefault="002761D2" w:rsidP="17E9108C">
      <w:pPr>
        <w:rPr>
          <w:sz w:val="24"/>
          <w:szCs w:val="24"/>
        </w:rPr>
      </w:pPr>
      <w:r>
        <w:rPr>
          <w:noProof/>
          <w:lang w:eastAsia="tr-TR"/>
        </w:rPr>
        <w:drawing>
          <wp:anchor distT="0" distB="0" distL="114300" distR="114300" simplePos="0" relativeHeight="251657728" behindDoc="0" locked="0" layoutInCell="1" allowOverlap="1" wp14:anchorId="4DC873F8" wp14:editId="3B4342B3">
            <wp:simplePos x="0" y="0"/>
            <wp:positionH relativeFrom="column">
              <wp:posOffset>-76200</wp:posOffset>
            </wp:positionH>
            <wp:positionV relativeFrom="paragraph">
              <wp:posOffset>116840</wp:posOffset>
            </wp:positionV>
            <wp:extent cx="3705225" cy="2209800"/>
            <wp:effectExtent l="0" t="0" r="9525" b="0"/>
            <wp:wrapSquare wrapText="bothSides"/>
            <wp:docPr id="7" name="Grafik 7">
              <a:extLst xmlns:a="http://schemas.openxmlformats.org/drawingml/2006/main">
                <a:ext uri="{FF2B5EF4-FFF2-40B4-BE49-F238E27FC236}">
                  <a16:creationId xmlns:a16="http://schemas.microsoft.com/office/drawing/2014/main" id="{00000000-0008-0000-0000-00000B000000}"/>
                </a:ext>
                <a:ext uri="{147F2762-F138-4A5C-976F-8EAC2B608ADB}">
                  <a16:predDERef xmlns:a16="http://schemas.microsoft.com/office/drawing/2014/main" pred="{448DFA02-083C-4A94-A1E5-DD658DD4D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AA176C">
        <w:rPr>
          <w:sz w:val="24"/>
          <w:szCs w:val="24"/>
        </w:rPr>
        <w:t xml:space="preserve">Salgının birinci senesinde COVID-19’a yakalanmış hiç çalışanın olmadığı Aile Sağlığı Merkezi oranı %25’tir.  </w:t>
      </w:r>
      <w:r w:rsidR="17E9108C" w:rsidRPr="17E9108C">
        <w:rPr>
          <w:sz w:val="24"/>
          <w:szCs w:val="24"/>
        </w:rPr>
        <w:t xml:space="preserve">Yaygın aşılamanın Aile Sağlığı Merkezlerinin dar koridorlarına bırakılması ve açılmaların etkileri ile henüz hastalanmamış olan bu arkadaşlarımızın da hastalanacağından endişeleniyoruz. </w:t>
      </w:r>
    </w:p>
    <w:p w14:paraId="70F8CF3A" w14:textId="375E0AFB" w:rsidR="00275090" w:rsidRPr="00F95B02" w:rsidRDefault="17E9108C" w:rsidP="47108F29">
      <w:pPr>
        <w:rPr>
          <w:sz w:val="24"/>
          <w:szCs w:val="24"/>
        </w:rPr>
      </w:pPr>
      <w:r w:rsidRPr="17E9108C">
        <w:rPr>
          <w:sz w:val="24"/>
          <w:szCs w:val="24"/>
        </w:rPr>
        <w:t>Aşılamanın başladığı salgının birinci yılına girdiğimizde binlerce sağlık çalışanının hastalanmış olması ve COVID-19’un halen meslek hastalığı sayılmaması kabul edilebilir değildir.</w:t>
      </w:r>
    </w:p>
    <w:p w14:paraId="7224CE06" w14:textId="2F603CF0" w:rsidR="528AC1EC" w:rsidRPr="0037338F" w:rsidRDefault="00AA176C" w:rsidP="0037338F">
      <w:pPr>
        <w:pStyle w:val="Balk1"/>
        <w:jc w:val="center"/>
        <w:rPr>
          <w:rFonts w:ascii="Calibri Light" w:eastAsia="Calibri Light" w:hAnsi="Calibri Light" w:cs="Calibri Light"/>
          <w:b/>
          <w:bCs/>
          <w:color w:val="000000" w:themeColor="text1"/>
          <w:sz w:val="40"/>
          <w:szCs w:val="40"/>
        </w:rPr>
      </w:pPr>
      <w:r w:rsidRPr="0037338F">
        <w:rPr>
          <w:rFonts w:ascii="Calibri Light" w:eastAsia="Calibri Light" w:hAnsi="Calibri Light" w:cs="Calibri Light"/>
          <w:b/>
          <w:bCs/>
          <w:color w:val="000000" w:themeColor="text1"/>
          <w:sz w:val="40"/>
          <w:szCs w:val="40"/>
        </w:rPr>
        <w:lastRenderedPageBreak/>
        <w:t>Ail</w:t>
      </w:r>
      <w:r w:rsidR="0037338F">
        <w:rPr>
          <w:rFonts w:ascii="Calibri Light" w:eastAsia="Calibri Light" w:hAnsi="Calibri Light" w:cs="Calibri Light"/>
          <w:b/>
          <w:bCs/>
          <w:color w:val="000000" w:themeColor="text1"/>
          <w:sz w:val="40"/>
          <w:szCs w:val="40"/>
        </w:rPr>
        <w:t>e Hekimlerinin çoğu COVID-19 Aşısı Oldu.</w:t>
      </w:r>
    </w:p>
    <w:p w14:paraId="345FE49B" w14:textId="21DF1E9B" w:rsidR="00AA176C" w:rsidRDefault="00AA176C" w:rsidP="47108F29">
      <w:r>
        <w:t xml:space="preserve">Ocak ayı anketimizde COVID-19 geçirmiş Aile Hekimi oranının %14 olduğunu tespit etmiştik. Aşılanan Aile Hekimi oranı ise </w:t>
      </w:r>
      <w:r w:rsidR="0098648E">
        <w:t>%91’dir. Bu oran hastalığı geçiren Aile Hekimlerinin de aşılandığını göstermektedir.</w:t>
      </w:r>
      <w:r w:rsidR="004051B5">
        <w:t xml:space="preserve"> </w:t>
      </w:r>
    </w:p>
    <w:p w14:paraId="37049651" w14:textId="07A5D403" w:rsidR="0098648E" w:rsidRDefault="0098648E" w:rsidP="47108F29">
      <w:r>
        <w:rPr>
          <w:noProof/>
          <w:lang w:eastAsia="tr-TR"/>
        </w:rPr>
        <w:drawing>
          <wp:inline distT="0" distB="0" distL="0" distR="0" wp14:anchorId="26855A91" wp14:editId="42960D2D">
            <wp:extent cx="3779520" cy="2346960"/>
            <wp:effectExtent l="0" t="0" r="11430" b="15240"/>
            <wp:docPr id="1" name="Grafik 1">
              <a:extLst xmlns:a="http://schemas.openxmlformats.org/drawingml/2006/main">
                <a:ext uri="{FF2B5EF4-FFF2-40B4-BE49-F238E27FC236}">
                  <a16:creationId xmlns:a16="http://schemas.microsoft.com/office/drawing/2014/main" id="{335D49CC-F948-4230-B762-BE4770935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C3374D" w14:textId="0E0902AB" w:rsidR="004051B5" w:rsidRDefault="17E9108C" w:rsidP="47108F29">
      <w:r>
        <w:t xml:space="preserve">Aşı olmama nedenleri içinde de hastalığı geçirmiş olma ilk sırada ve etkinlik/yan etki konusundaki tereddütler ikinci ve üçüncü sırada gelmektedir. Aşı etkinliği ile ilgili veriler geldikçe bu grupta da aşıya karşı tereddütler azalacaktır. </w:t>
      </w:r>
    </w:p>
    <w:p w14:paraId="1BD105BA" w14:textId="645B3844" w:rsidR="00A4149B" w:rsidRDefault="00B257D5" w:rsidP="47108F29">
      <w:r>
        <w:rPr>
          <w:noProof/>
          <w:lang w:eastAsia="tr-TR"/>
        </w:rPr>
        <w:drawing>
          <wp:inline distT="0" distB="0" distL="0" distR="0" wp14:anchorId="1A8A7D38" wp14:editId="7CC67DF0">
            <wp:extent cx="4572000" cy="27432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93B7FD" w14:textId="3B2CEC63" w:rsidR="00723A53" w:rsidRDefault="17E9108C" w:rsidP="47108F29">
      <w:r>
        <w:t>Aile Hekimlerine hastalarının aşı olma sırası gelen hastalarının ne kadarının aşı olacağı sorulduğunda</w:t>
      </w:r>
      <w:r w:rsidR="00A90E70">
        <w:t>,</w:t>
      </w:r>
      <w:r>
        <w:t xml:space="preserve"> toplumda aşı olmaya yönelik büyük bir talebin olduğu ama önemli de bir tereddüt varlığını göstermektedir. Ocak ayında sorduğumuz, bu şartlar altında günde kaç aşı yapabilirsiniz sorusuna gelen yanıtta ortalama 10-20 arası aşı yapılabileceği görülmüştür. 15-19 Şubat arasındaki aşılama sayılarımız da bu oran ile uyumludur. Ancak elimizden gelen tüm gayrete rağmen bu aşılama hızı, ne yeterli ne de sürdürülebilir durumdadır. Sağlık Bakanlığı yaygın aşılamaya ulaşmak istiyorsa gecikmeden tüm sağlık çalışanları ve örgütlü oldukları meslek odaları, dernek, sendik</w:t>
      </w:r>
      <w:r w:rsidR="007C0E29">
        <w:t>a</w:t>
      </w:r>
      <w:r>
        <w:t xml:space="preserve">larla iş birliği içinde olmalıdır. Hem yaygın aşılamanın </w:t>
      </w:r>
      <w:r w:rsidR="007C0E29">
        <w:t>sağlanması</w:t>
      </w:r>
      <w:r>
        <w:t xml:space="preserve"> hem de toplumdaki tereddütlerin giderilmesi için Aile Hekimleri kilit önemdedir.</w:t>
      </w:r>
    </w:p>
    <w:p w14:paraId="01ABB8F8" w14:textId="73A599E4" w:rsidR="00A76B7E" w:rsidRDefault="00A76B7E" w:rsidP="47108F29">
      <w:r>
        <w:lastRenderedPageBreak/>
        <w:t xml:space="preserve">Aile Hekimleri yaygın bağışıklama için gerekli olan %60 ve üzeri aşılanacak kişi oranını %66 olarak belirtmiştir. %22’lik bir kesim ise yaygın bağışıklamanın hemen altında olan %40-59 aralığındadır. Oldukça sınırda görülen bu değerlerin altına düşmemek için uyarılar dikkate alınmalı, aşı temini ve aşılama kapasitesinin artırılması sağlanmalıdır. </w:t>
      </w:r>
    </w:p>
    <w:p w14:paraId="2282F81B" w14:textId="79FE3791" w:rsidR="00CA2349" w:rsidRDefault="00096020" w:rsidP="47108F29">
      <w:r>
        <w:rPr>
          <w:noProof/>
          <w:lang w:eastAsia="tr-TR"/>
        </w:rPr>
        <w:drawing>
          <wp:inline distT="0" distB="0" distL="0" distR="0" wp14:anchorId="727F2DE1" wp14:editId="5192D5EC">
            <wp:extent cx="4572000" cy="2743200"/>
            <wp:effectExtent l="0" t="0" r="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A6AE89" w14:textId="1A7C3B27" w:rsidR="000603BC" w:rsidRPr="00CC445E" w:rsidRDefault="000603BC" w:rsidP="00CC445E">
      <w:pPr>
        <w:pStyle w:val="Balk1"/>
        <w:jc w:val="center"/>
        <w:rPr>
          <w:rFonts w:ascii="Calibri Light" w:eastAsia="Calibri Light" w:hAnsi="Calibri Light" w:cs="Calibri Light"/>
          <w:b/>
          <w:bCs/>
          <w:color w:val="000000" w:themeColor="text1"/>
          <w:sz w:val="40"/>
          <w:szCs w:val="40"/>
        </w:rPr>
      </w:pPr>
      <w:r w:rsidRPr="00CC445E">
        <w:rPr>
          <w:rFonts w:ascii="Calibri Light" w:eastAsia="Calibri Light" w:hAnsi="Calibri Light" w:cs="Calibri Light"/>
          <w:b/>
          <w:bCs/>
          <w:color w:val="000000" w:themeColor="text1"/>
          <w:sz w:val="40"/>
          <w:szCs w:val="40"/>
        </w:rPr>
        <w:t>Aşılanmak İsteyen Toplumun Bağışıklığı İçin 1 Yıl Beklememiz Gerekiyor</w:t>
      </w:r>
    </w:p>
    <w:p w14:paraId="3F19DE4B" w14:textId="5722044A" w:rsidR="006476E9" w:rsidRDefault="17E9108C" w:rsidP="0013699C">
      <w:pPr>
        <w:ind w:firstLine="708"/>
      </w:pPr>
      <w:r>
        <w:t xml:space="preserve">Çalışmamızın yapıldığı 75 yaş üstü aşılamanın başladığı dönemde, yeterli sayıda hemşire olmadan, dar ve havalandırma sorunlu mekânlarda, kişisel korunma olanakları sınırlı, aşılama programı için yeterli açık bilgiye ulaşım zorluğu, basamaklar arsındaki yetersiz ilişkiye rağmen günde ortalama 12 aşı yapabilmişlerdir. Bir önemli nokta da 3 Aile Hekiminden ikisinin günde 10 ya da daha az aşılama yapabilmesidir. </w:t>
      </w:r>
    </w:p>
    <w:p w14:paraId="7FC9E1CB" w14:textId="75E066F1" w:rsidR="0013699C" w:rsidRDefault="009F1AFD" w:rsidP="0013699C">
      <w:pPr>
        <w:ind w:firstLine="708"/>
      </w:pPr>
      <w:r>
        <w:t xml:space="preserve">Ülkemizde aşılamaların büyük çoğunluğu Aile Sağlığı Merkezlerinde yapılmaktadır. </w:t>
      </w:r>
      <w:r w:rsidR="0013699C">
        <w:t xml:space="preserve">Günde ortalama </w:t>
      </w:r>
      <w:r>
        <w:t>12 kişinin aşılanması ile ASM</w:t>
      </w:r>
      <w:r w:rsidR="0013699C">
        <w:t xml:space="preserve"> </w:t>
      </w:r>
      <w:r>
        <w:t>lerde toplam 300 bine yakın kişi aşılanabilir. Bu hızla Sağlık Bakanlığının açıkladığı 100 milyon aşının</w:t>
      </w:r>
      <w:r w:rsidR="006476E9">
        <w:t xml:space="preserve"> uygulanabilmesi </w:t>
      </w:r>
      <w:r w:rsidR="000603BC">
        <w:t>300 iş günü ve 1</w:t>
      </w:r>
      <w:r w:rsidR="006476E9">
        <w:t xml:space="preserve"> yıldan uzun sürebilir.</w:t>
      </w:r>
    </w:p>
    <w:p w14:paraId="04C4DD4F" w14:textId="2B21A7A6" w:rsidR="00134466" w:rsidRDefault="00C21BC3" w:rsidP="0013699C">
      <w:pPr>
        <w:ind w:firstLine="708"/>
      </w:pPr>
      <w:r>
        <w:t xml:space="preserve">Bu sorun ne hastalarımızın, ne de bizlerin isteğimiz ile </w:t>
      </w:r>
      <w:r w:rsidR="006476E9">
        <w:t>çözülemez. Sağlık Bakanlığı toplumun</w:t>
      </w:r>
      <w:r w:rsidR="003F1269">
        <w:t xml:space="preserve"> </w:t>
      </w:r>
      <w:r w:rsidR="006476E9">
        <w:t xml:space="preserve">etkin ve hızlı </w:t>
      </w:r>
      <w:r w:rsidR="003F1269">
        <w:t xml:space="preserve">aşılanması </w:t>
      </w:r>
      <w:r w:rsidR="006476E9">
        <w:t xml:space="preserve">için sorumluluğunu yerine getirmesini bekliyoruz. </w:t>
      </w:r>
    </w:p>
    <w:p w14:paraId="6B659445" w14:textId="32D091E6" w:rsidR="00CA7DAB" w:rsidRPr="00CC445E" w:rsidRDefault="00CC445E" w:rsidP="00CC445E">
      <w:pPr>
        <w:pStyle w:val="Balk1"/>
        <w:jc w:val="center"/>
        <w:rPr>
          <w:rFonts w:ascii="Calibri Light" w:eastAsia="Calibri Light" w:hAnsi="Calibri Light" w:cs="Calibri Light"/>
          <w:b/>
          <w:bCs/>
          <w:color w:val="000000" w:themeColor="text1"/>
          <w:sz w:val="40"/>
          <w:szCs w:val="40"/>
        </w:rPr>
      </w:pPr>
      <w:r>
        <w:rPr>
          <w:rFonts w:ascii="Calibri Light" w:eastAsia="Calibri Light" w:hAnsi="Calibri Light" w:cs="Calibri Light"/>
          <w:b/>
          <w:bCs/>
          <w:color w:val="000000" w:themeColor="text1"/>
          <w:sz w:val="40"/>
          <w:szCs w:val="40"/>
        </w:rPr>
        <w:t xml:space="preserve">Aile Hekimlerinin Kişisel </w:t>
      </w:r>
      <w:r w:rsidR="00CA7DAB" w:rsidRPr="00CC445E">
        <w:rPr>
          <w:rFonts w:ascii="Calibri Light" w:eastAsia="Calibri Light" w:hAnsi="Calibri Light" w:cs="Calibri Light"/>
          <w:b/>
          <w:bCs/>
          <w:color w:val="000000" w:themeColor="text1"/>
          <w:sz w:val="40"/>
          <w:szCs w:val="40"/>
        </w:rPr>
        <w:t xml:space="preserve">Koruması İçin </w:t>
      </w:r>
      <w:r>
        <w:rPr>
          <w:rFonts w:ascii="Calibri Light" w:eastAsia="Calibri Light" w:hAnsi="Calibri Light" w:cs="Calibri Light"/>
          <w:b/>
          <w:bCs/>
          <w:color w:val="000000" w:themeColor="text1"/>
          <w:sz w:val="40"/>
          <w:szCs w:val="40"/>
        </w:rPr>
        <w:t>Yeterli Destek Verilmiyor.</w:t>
      </w:r>
    </w:p>
    <w:p w14:paraId="06119EFE" w14:textId="5299123F" w:rsidR="00CC445E" w:rsidRDefault="17E9108C" w:rsidP="00CC445E">
      <w:pPr>
        <w:ind w:firstLine="708"/>
      </w:pPr>
      <w:r>
        <w:t>Yaygın aşılama sırasında yoğun hasta yüküyle karşılaşan Aile Hekimlerine, Sağlık Bakanlığının Koruyucu Ekipman temin edip etmediğini sorduğumuzda, bu desteğin yaklaşık bir yıldır yeterli düzeyde sağlanmadığı anlaşılmaktadır.</w:t>
      </w:r>
    </w:p>
    <w:p w14:paraId="11A5CED2" w14:textId="6D0D3A61" w:rsidR="00CA7DAB" w:rsidRDefault="00CA7DAB" w:rsidP="00CC445E">
      <w:pPr>
        <w:ind w:firstLine="708"/>
      </w:pPr>
      <w:r w:rsidRPr="00A876EC">
        <w:rPr>
          <w:b/>
        </w:rPr>
        <w:t>Salgının başından bu yana olduğu gibi Aile Hekimleri bu fırtınanın ortasında y</w:t>
      </w:r>
      <w:r w:rsidR="00670A3C">
        <w:rPr>
          <w:b/>
        </w:rPr>
        <w:t>apa</w:t>
      </w:r>
      <w:r w:rsidRPr="00A876EC">
        <w:rPr>
          <w:b/>
        </w:rPr>
        <w:t>yalnızdır</w:t>
      </w:r>
      <w:r>
        <w:t>.</w:t>
      </w:r>
    </w:p>
    <w:p w14:paraId="29C93F4F" w14:textId="1FDAF3D2" w:rsidR="00A876EC" w:rsidRDefault="00036575" w:rsidP="47108F29">
      <w:r>
        <w:rPr>
          <w:noProof/>
          <w:lang w:eastAsia="tr-TR"/>
        </w:rPr>
        <w:lastRenderedPageBreak/>
        <w:drawing>
          <wp:inline distT="0" distB="0" distL="0" distR="0" wp14:anchorId="08AC7E46" wp14:editId="090D7350">
            <wp:extent cx="6172200" cy="3345180"/>
            <wp:effectExtent l="0" t="0" r="0" b="762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375E3F" w14:textId="61ECBE53" w:rsidR="00CC445E" w:rsidRDefault="00CC445E" w:rsidP="00CC445E">
      <w:pPr>
        <w:pStyle w:val="Balk1"/>
        <w:jc w:val="center"/>
        <w:rPr>
          <w:rFonts w:ascii="Calibri Light" w:eastAsia="Calibri Light" w:hAnsi="Calibri Light" w:cs="Calibri Light"/>
          <w:b/>
          <w:bCs/>
          <w:color w:val="000000" w:themeColor="text1"/>
          <w:sz w:val="40"/>
          <w:szCs w:val="40"/>
        </w:rPr>
      </w:pPr>
      <w:r>
        <w:rPr>
          <w:rFonts w:ascii="Calibri Light" w:eastAsia="Calibri Light" w:hAnsi="Calibri Light" w:cs="Calibri Light"/>
          <w:b/>
          <w:bCs/>
          <w:color w:val="000000" w:themeColor="text1"/>
          <w:sz w:val="40"/>
          <w:szCs w:val="40"/>
        </w:rPr>
        <w:t>COVID-19 salgınında,</w:t>
      </w:r>
      <w:r w:rsidRPr="00CC445E">
        <w:rPr>
          <w:rFonts w:ascii="Calibri Light" w:eastAsia="Calibri Light" w:hAnsi="Calibri Light" w:cs="Calibri Light"/>
          <w:b/>
          <w:bCs/>
          <w:color w:val="000000" w:themeColor="text1"/>
          <w:sz w:val="40"/>
          <w:szCs w:val="40"/>
        </w:rPr>
        <w:t xml:space="preserve"> açılmaların konuşulmaya başlandığı </w:t>
      </w:r>
      <w:r>
        <w:rPr>
          <w:rFonts w:ascii="Calibri Light" w:eastAsia="Calibri Light" w:hAnsi="Calibri Light" w:cs="Calibri Light"/>
          <w:b/>
          <w:bCs/>
          <w:color w:val="000000" w:themeColor="text1"/>
          <w:sz w:val="40"/>
          <w:szCs w:val="40"/>
        </w:rPr>
        <w:t xml:space="preserve">aşılama aşamasında </w:t>
      </w:r>
      <w:r w:rsidR="00E2175C">
        <w:rPr>
          <w:rFonts w:ascii="Calibri Light" w:eastAsia="Calibri Light" w:hAnsi="Calibri Light" w:cs="Calibri Light"/>
          <w:b/>
          <w:bCs/>
          <w:color w:val="000000" w:themeColor="text1"/>
          <w:sz w:val="40"/>
          <w:szCs w:val="40"/>
        </w:rPr>
        <w:t>üç önemli uyarı:</w:t>
      </w:r>
    </w:p>
    <w:p w14:paraId="524E6199" w14:textId="77777777" w:rsidR="00E2175C" w:rsidRDefault="00E2175C" w:rsidP="00E2175C">
      <w:pPr>
        <w:pStyle w:val="ListeParagraf"/>
      </w:pPr>
    </w:p>
    <w:p w14:paraId="318C876C" w14:textId="2C608884" w:rsidR="0017483C" w:rsidRDefault="17E9108C" w:rsidP="0017483C">
      <w:pPr>
        <w:pStyle w:val="ListeParagraf"/>
        <w:numPr>
          <w:ilvl w:val="0"/>
          <w:numId w:val="3"/>
        </w:numPr>
      </w:pPr>
      <w:r>
        <w:t>Alınan tedbirler vakaları azaltmakla birlikte, çok sayıda bölgede artış gösteriyor ve geçmiştekine benzer açılmaların, geçmiştekine benzer artış riskini taşıdığı bir dönemdeyiz</w:t>
      </w:r>
    </w:p>
    <w:p w14:paraId="04CBC20F" w14:textId="13D30A1E" w:rsidR="0017483C" w:rsidRDefault="0017483C" w:rsidP="0017483C">
      <w:pPr>
        <w:pStyle w:val="ListeParagraf"/>
        <w:numPr>
          <w:ilvl w:val="0"/>
          <w:numId w:val="3"/>
        </w:numPr>
      </w:pPr>
      <w:r>
        <w:t>Toplum aşılanmaya hazır ancak 1 seneden önce aşılanmanın tamamlanması mümkün görünmüyor.</w:t>
      </w:r>
    </w:p>
    <w:p w14:paraId="0B01F79B" w14:textId="544043E1" w:rsidR="0017483C" w:rsidRDefault="17E9108C" w:rsidP="008009ED">
      <w:pPr>
        <w:pStyle w:val="ListeParagraf"/>
        <w:numPr>
          <w:ilvl w:val="0"/>
          <w:numId w:val="3"/>
        </w:numPr>
      </w:pPr>
      <w:r>
        <w:t>Aile Sağlığı Merkezleri toplumun aşılanması için gösterdiği çabaya rağmen Sağlık Bakanlığının ASM ihtiyacı olan emek gücü desteği sunmaması, ASM mekânlarının kamu eliyle yeterli hale getirmemesi, salgın yokmuş gibi ertelenebilir sağlık hizmetlerinin sürdürülmesi salgına karşı mücadeleyi olumsuz etkilemektedir.</w:t>
      </w:r>
    </w:p>
    <w:sectPr w:rsidR="001748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A84D1" w14:textId="77777777" w:rsidR="009B5D66" w:rsidRDefault="009B5D66">
      <w:pPr>
        <w:spacing w:after="0" w:line="240" w:lineRule="auto"/>
      </w:pPr>
      <w:r>
        <w:separator/>
      </w:r>
    </w:p>
  </w:endnote>
  <w:endnote w:type="continuationSeparator" w:id="0">
    <w:p w14:paraId="5F7C0F4A" w14:textId="77777777" w:rsidR="009B5D66" w:rsidRDefault="009B5D66">
      <w:pPr>
        <w:spacing w:after="0" w:line="240" w:lineRule="auto"/>
      </w:pPr>
      <w:r>
        <w:continuationSeparator/>
      </w:r>
    </w:p>
  </w:endnote>
  <w:endnote w:id="1">
    <w:p w14:paraId="631B4BBF" w14:textId="77777777" w:rsidR="007B6D48" w:rsidRDefault="007B6D48" w:rsidP="007B6D48">
      <w:pPr>
        <w:pStyle w:val="DipnotMetni"/>
      </w:pPr>
      <w:r w:rsidRPr="47108F29">
        <w:rPr>
          <w:rStyle w:val="SonNotBavurusu"/>
          <w:rFonts w:ascii="Calibri" w:eastAsia="Calibri" w:hAnsi="Calibri" w:cs="Calibri"/>
        </w:rPr>
        <w:endnoteRef/>
      </w:r>
      <w:r w:rsidRPr="47108F29">
        <w:rPr>
          <w:rFonts w:ascii="Calibri" w:eastAsia="Calibri" w:hAnsi="Calibri" w:cs="Calibri"/>
        </w:rPr>
        <w:t xml:space="preserve"> TTB Aile Hekimliği Kolu Pandemi Anket Sonuçları (https://www.ttb.org.tr/kollar/_ahek/index.php).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9FCF4" w14:textId="77777777" w:rsidR="009B5D66" w:rsidRDefault="009B5D66">
      <w:pPr>
        <w:spacing w:after="0" w:line="240" w:lineRule="auto"/>
      </w:pPr>
      <w:r>
        <w:separator/>
      </w:r>
    </w:p>
  </w:footnote>
  <w:footnote w:type="continuationSeparator" w:id="0">
    <w:p w14:paraId="7C665F2F" w14:textId="77777777" w:rsidR="009B5D66" w:rsidRDefault="009B5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0E9"/>
    <w:multiLevelType w:val="multilevel"/>
    <w:tmpl w:val="C51EC1D6"/>
    <w:lvl w:ilvl="0">
      <w:start w:val="8"/>
      <w:numFmt w:val="decimal"/>
      <w:lvlText w:val="%1"/>
      <w:lvlJc w:val="left"/>
      <w:pPr>
        <w:ind w:left="996" w:hanging="996"/>
      </w:pPr>
      <w:rPr>
        <w:rFonts w:hint="default"/>
        <w:b/>
      </w:rPr>
    </w:lvl>
    <w:lvl w:ilvl="1">
      <w:start w:val="14"/>
      <w:numFmt w:val="decimal"/>
      <w:lvlText w:val="%1-%2"/>
      <w:lvlJc w:val="left"/>
      <w:pPr>
        <w:ind w:left="996" w:hanging="996"/>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 w15:restartNumberingAfterBreak="0">
    <w:nsid w:val="32577610"/>
    <w:multiLevelType w:val="hybridMultilevel"/>
    <w:tmpl w:val="9620CEAC"/>
    <w:lvl w:ilvl="0" w:tplc="041F000F">
      <w:start w:val="1"/>
      <w:numFmt w:val="decimal"/>
      <w:lvlText w:val="%1."/>
      <w:lvlJc w:val="left"/>
      <w:pPr>
        <w:ind w:left="720" w:hanging="360"/>
      </w:pPr>
    </w:lvl>
    <w:lvl w:ilvl="1" w:tplc="7690FA48">
      <w:start w:val="1"/>
      <w:numFmt w:val="decimal"/>
      <w:lvlText w:val="%2)"/>
      <w:lvlJc w:val="left"/>
      <w:pPr>
        <w:ind w:left="1440" w:hanging="360"/>
      </w:pPr>
      <w:rPr>
        <w:rFonts w:hint="default"/>
      </w:rPr>
    </w:lvl>
    <w:lvl w:ilvl="2" w:tplc="12E2A68C">
      <w:start w:val="77"/>
      <w:numFmt w:val="bullet"/>
      <w:lvlText w:val=""/>
      <w:lvlJc w:val="left"/>
      <w:pPr>
        <w:ind w:left="2340" w:hanging="360"/>
      </w:pPr>
      <w:rPr>
        <w:rFonts w:ascii="Symbol" w:eastAsiaTheme="minorHAnsi" w:hAnsi="Symbol" w:cstheme="minorBid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410982"/>
    <w:multiLevelType w:val="hybridMultilevel"/>
    <w:tmpl w:val="F8183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0766C9"/>
    <w:multiLevelType w:val="hybridMultilevel"/>
    <w:tmpl w:val="2AC07A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832EFD"/>
    <w:multiLevelType w:val="hybridMultilevel"/>
    <w:tmpl w:val="C430E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99A623"/>
    <w:rsid w:val="00030575"/>
    <w:rsid w:val="00033140"/>
    <w:rsid w:val="000346F9"/>
    <w:rsid w:val="00036575"/>
    <w:rsid w:val="000505AF"/>
    <w:rsid w:val="00056E48"/>
    <w:rsid w:val="000603BC"/>
    <w:rsid w:val="0007029B"/>
    <w:rsid w:val="0007154E"/>
    <w:rsid w:val="000777F5"/>
    <w:rsid w:val="00084EC4"/>
    <w:rsid w:val="00096020"/>
    <w:rsid w:val="000B5FA5"/>
    <w:rsid w:val="000C111B"/>
    <w:rsid w:val="000C3E9B"/>
    <w:rsid w:val="000F1A52"/>
    <w:rsid w:val="00120367"/>
    <w:rsid w:val="00123323"/>
    <w:rsid w:val="00134466"/>
    <w:rsid w:val="0013699C"/>
    <w:rsid w:val="00144430"/>
    <w:rsid w:val="0014626A"/>
    <w:rsid w:val="0017483C"/>
    <w:rsid w:val="00175CE1"/>
    <w:rsid w:val="001812A4"/>
    <w:rsid w:val="00183308"/>
    <w:rsid w:val="001A4168"/>
    <w:rsid w:val="001F3FA4"/>
    <w:rsid w:val="001F676B"/>
    <w:rsid w:val="0022202F"/>
    <w:rsid w:val="0024791E"/>
    <w:rsid w:val="00270834"/>
    <w:rsid w:val="00275090"/>
    <w:rsid w:val="002761D2"/>
    <w:rsid w:val="002A2289"/>
    <w:rsid w:val="002C57FF"/>
    <w:rsid w:val="002F5A6A"/>
    <w:rsid w:val="00306037"/>
    <w:rsid w:val="00331D9E"/>
    <w:rsid w:val="00332544"/>
    <w:rsid w:val="0037338F"/>
    <w:rsid w:val="00385594"/>
    <w:rsid w:val="003E071D"/>
    <w:rsid w:val="003F1269"/>
    <w:rsid w:val="004051B5"/>
    <w:rsid w:val="00411270"/>
    <w:rsid w:val="0042088F"/>
    <w:rsid w:val="00434FBD"/>
    <w:rsid w:val="00446BD6"/>
    <w:rsid w:val="004640A5"/>
    <w:rsid w:val="004A2182"/>
    <w:rsid w:val="004E73BE"/>
    <w:rsid w:val="004F2667"/>
    <w:rsid w:val="00500124"/>
    <w:rsid w:val="00521890"/>
    <w:rsid w:val="0055173F"/>
    <w:rsid w:val="00563BD9"/>
    <w:rsid w:val="00564CD7"/>
    <w:rsid w:val="0058254D"/>
    <w:rsid w:val="00597CE5"/>
    <w:rsid w:val="005C5A5E"/>
    <w:rsid w:val="005C6F5B"/>
    <w:rsid w:val="00612675"/>
    <w:rsid w:val="00632937"/>
    <w:rsid w:val="00643869"/>
    <w:rsid w:val="006476E9"/>
    <w:rsid w:val="00670A3C"/>
    <w:rsid w:val="006754DF"/>
    <w:rsid w:val="006B089E"/>
    <w:rsid w:val="006D10C7"/>
    <w:rsid w:val="006D33B2"/>
    <w:rsid w:val="006F540F"/>
    <w:rsid w:val="006F5F7C"/>
    <w:rsid w:val="007010F6"/>
    <w:rsid w:val="00703832"/>
    <w:rsid w:val="00723A53"/>
    <w:rsid w:val="007421B7"/>
    <w:rsid w:val="00742289"/>
    <w:rsid w:val="00753482"/>
    <w:rsid w:val="00761344"/>
    <w:rsid w:val="0076357A"/>
    <w:rsid w:val="00770D0D"/>
    <w:rsid w:val="00785498"/>
    <w:rsid w:val="007A5884"/>
    <w:rsid w:val="007B6D48"/>
    <w:rsid w:val="007C0E29"/>
    <w:rsid w:val="007D5745"/>
    <w:rsid w:val="007D5815"/>
    <w:rsid w:val="007F4FF3"/>
    <w:rsid w:val="00826A83"/>
    <w:rsid w:val="008309AB"/>
    <w:rsid w:val="0085588C"/>
    <w:rsid w:val="00866F62"/>
    <w:rsid w:val="00874E67"/>
    <w:rsid w:val="008A3E98"/>
    <w:rsid w:val="008F7CCF"/>
    <w:rsid w:val="009019A7"/>
    <w:rsid w:val="00917600"/>
    <w:rsid w:val="009256A7"/>
    <w:rsid w:val="0095578C"/>
    <w:rsid w:val="009822E6"/>
    <w:rsid w:val="0098648E"/>
    <w:rsid w:val="009B45A9"/>
    <w:rsid w:val="009B5D66"/>
    <w:rsid w:val="009F1AFD"/>
    <w:rsid w:val="00A148C5"/>
    <w:rsid w:val="00A22B4A"/>
    <w:rsid w:val="00A4149B"/>
    <w:rsid w:val="00A47413"/>
    <w:rsid w:val="00A60AF7"/>
    <w:rsid w:val="00A6613D"/>
    <w:rsid w:val="00A71202"/>
    <w:rsid w:val="00A76B7E"/>
    <w:rsid w:val="00A77A43"/>
    <w:rsid w:val="00A876EC"/>
    <w:rsid w:val="00A90E70"/>
    <w:rsid w:val="00A91793"/>
    <w:rsid w:val="00AA176C"/>
    <w:rsid w:val="00AC418D"/>
    <w:rsid w:val="00AF63DB"/>
    <w:rsid w:val="00B257D5"/>
    <w:rsid w:val="00BA100F"/>
    <w:rsid w:val="00BA5A02"/>
    <w:rsid w:val="00BB1413"/>
    <w:rsid w:val="00BB7ECB"/>
    <w:rsid w:val="00BD25D4"/>
    <w:rsid w:val="00BE2C5A"/>
    <w:rsid w:val="00C21BC3"/>
    <w:rsid w:val="00C40303"/>
    <w:rsid w:val="00C557EB"/>
    <w:rsid w:val="00C819DE"/>
    <w:rsid w:val="00C92EE5"/>
    <w:rsid w:val="00CA05BD"/>
    <w:rsid w:val="00CA0EBA"/>
    <w:rsid w:val="00CA2349"/>
    <w:rsid w:val="00CA7DAB"/>
    <w:rsid w:val="00CB0409"/>
    <w:rsid w:val="00CC3606"/>
    <w:rsid w:val="00CC42ED"/>
    <w:rsid w:val="00CC445E"/>
    <w:rsid w:val="00D444C6"/>
    <w:rsid w:val="00D54145"/>
    <w:rsid w:val="00D56A5D"/>
    <w:rsid w:val="00D65753"/>
    <w:rsid w:val="00D65F0E"/>
    <w:rsid w:val="00DA40A7"/>
    <w:rsid w:val="00DB5431"/>
    <w:rsid w:val="00DC5895"/>
    <w:rsid w:val="00DD2902"/>
    <w:rsid w:val="00DE1F2A"/>
    <w:rsid w:val="00DF188E"/>
    <w:rsid w:val="00DF195E"/>
    <w:rsid w:val="00DF7730"/>
    <w:rsid w:val="00E15A78"/>
    <w:rsid w:val="00E2175C"/>
    <w:rsid w:val="00E2F5AB"/>
    <w:rsid w:val="00E46FA8"/>
    <w:rsid w:val="00E52A1C"/>
    <w:rsid w:val="00E857D9"/>
    <w:rsid w:val="00EA3A90"/>
    <w:rsid w:val="00EA6AA9"/>
    <w:rsid w:val="00EC5638"/>
    <w:rsid w:val="00EE0060"/>
    <w:rsid w:val="00EF32E3"/>
    <w:rsid w:val="00F254DE"/>
    <w:rsid w:val="00F31682"/>
    <w:rsid w:val="00F4552E"/>
    <w:rsid w:val="00F55DB5"/>
    <w:rsid w:val="00F56A26"/>
    <w:rsid w:val="00F61917"/>
    <w:rsid w:val="00F95B02"/>
    <w:rsid w:val="00FC2838"/>
    <w:rsid w:val="00FC4BA6"/>
    <w:rsid w:val="00FD1834"/>
    <w:rsid w:val="00FD3FC1"/>
    <w:rsid w:val="012CF143"/>
    <w:rsid w:val="01590E64"/>
    <w:rsid w:val="0176B4B9"/>
    <w:rsid w:val="018BD7E3"/>
    <w:rsid w:val="01CE606A"/>
    <w:rsid w:val="02ADF114"/>
    <w:rsid w:val="02CB6D18"/>
    <w:rsid w:val="03567DB6"/>
    <w:rsid w:val="03A65577"/>
    <w:rsid w:val="03CA0F1B"/>
    <w:rsid w:val="04095B96"/>
    <w:rsid w:val="04A43E08"/>
    <w:rsid w:val="04D3D932"/>
    <w:rsid w:val="0508FF6F"/>
    <w:rsid w:val="05648BCD"/>
    <w:rsid w:val="05698F2D"/>
    <w:rsid w:val="05A52BF7"/>
    <w:rsid w:val="05BFBD4D"/>
    <w:rsid w:val="05C8C8E1"/>
    <w:rsid w:val="05E0D1EE"/>
    <w:rsid w:val="064FC7DF"/>
    <w:rsid w:val="065E3BEB"/>
    <w:rsid w:val="068B9E14"/>
    <w:rsid w:val="06C3521E"/>
    <w:rsid w:val="06F26CBE"/>
    <w:rsid w:val="06F63DC0"/>
    <w:rsid w:val="073DD597"/>
    <w:rsid w:val="076B5F8C"/>
    <w:rsid w:val="07E4352D"/>
    <w:rsid w:val="083B6EE5"/>
    <w:rsid w:val="086875C2"/>
    <w:rsid w:val="088E3D1F"/>
    <w:rsid w:val="089F1A86"/>
    <w:rsid w:val="08B165B2"/>
    <w:rsid w:val="08D0273D"/>
    <w:rsid w:val="08D7579B"/>
    <w:rsid w:val="094682FF"/>
    <w:rsid w:val="09AF3D5B"/>
    <w:rsid w:val="0A2BA220"/>
    <w:rsid w:val="0A789D1A"/>
    <w:rsid w:val="0A880A43"/>
    <w:rsid w:val="0AAFE266"/>
    <w:rsid w:val="0AE6C84D"/>
    <w:rsid w:val="0B8CB9E6"/>
    <w:rsid w:val="0B998AD2"/>
    <w:rsid w:val="0BAFB731"/>
    <w:rsid w:val="0BF4E8EA"/>
    <w:rsid w:val="0C708D13"/>
    <w:rsid w:val="0C990168"/>
    <w:rsid w:val="0C9C5CAC"/>
    <w:rsid w:val="0CE1D7BD"/>
    <w:rsid w:val="0D009984"/>
    <w:rsid w:val="0D09CDAC"/>
    <w:rsid w:val="0D3293A2"/>
    <w:rsid w:val="0DA4B235"/>
    <w:rsid w:val="0DBD62D0"/>
    <w:rsid w:val="0DC27202"/>
    <w:rsid w:val="0DDAA110"/>
    <w:rsid w:val="0DE12BC0"/>
    <w:rsid w:val="0DE2B0DC"/>
    <w:rsid w:val="0E4ACB91"/>
    <w:rsid w:val="0FB39C1D"/>
    <w:rsid w:val="100B9B70"/>
    <w:rsid w:val="10C4E87E"/>
    <w:rsid w:val="110106FB"/>
    <w:rsid w:val="112006FF"/>
    <w:rsid w:val="114B1060"/>
    <w:rsid w:val="116E207A"/>
    <w:rsid w:val="11EA69BD"/>
    <w:rsid w:val="1262EC46"/>
    <w:rsid w:val="12C776FE"/>
    <w:rsid w:val="1320A422"/>
    <w:rsid w:val="137EBC6D"/>
    <w:rsid w:val="1388ACC9"/>
    <w:rsid w:val="13B72F4D"/>
    <w:rsid w:val="1478B257"/>
    <w:rsid w:val="147A0D70"/>
    <w:rsid w:val="15B1E85C"/>
    <w:rsid w:val="16134D0D"/>
    <w:rsid w:val="1623331B"/>
    <w:rsid w:val="163CA113"/>
    <w:rsid w:val="165CFC87"/>
    <w:rsid w:val="167E6DCF"/>
    <w:rsid w:val="16B4A7CE"/>
    <w:rsid w:val="16B65D2F"/>
    <w:rsid w:val="16BEDFE6"/>
    <w:rsid w:val="170B324C"/>
    <w:rsid w:val="17E1E6CC"/>
    <w:rsid w:val="17E9108C"/>
    <w:rsid w:val="1956FDA1"/>
    <w:rsid w:val="195A55E4"/>
    <w:rsid w:val="195A8476"/>
    <w:rsid w:val="19AE8E9B"/>
    <w:rsid w:val="19E15026"/>
    <w:rsid w:val="1A264746"/>
    <w:rsid w:val="1A8CBD7B"/>
    <w:rsid w:val="1AD288E3"/>
    <w:rsid w:val="1AE430CE"/>
    <w:rsid w:val="1BC7A621"/>
    <w:rsid w:val="1BD786AD"/>
    <w:rsid w:val="1C69B4C0"/>
    <w:rsid w:val="1C6E5944"/>
    <w:rsid w:val="1C71BA2A"/>
    <w:rsid w:val="1D40C9E6"/>
    <w:rsid w:val="1DD79C7D"/>
    <w:rsid w:val="1DFE0E15"/>
    <w:rsid w:val="1E106B0B"/>
    <w:rsid w:val="1E10F374"/>
    <w:rsid w:val="1E149E32"/>
    <w:rsid w:val="1E1C76C6"/>
    <w:rsid w:val="1EAE98F2"/>
    <w:rsid w:val="1F363C37"/>
    <w:rsid w:val="1F5D35CF"/>
    <w:rsid w:val="1F832FAD"/>
    <w:rsid w:val="1FE204FE"/>
    <w:rsid w:val="207174AD"/>
    <w:rsid w:val="20CDC8A3"/>
    <w:rsid w:val="20D01EF2"/>
    <w:rsid w:val="219DAF23"/>
    <w:rsid w:val="21B4A7C9"/>
    <w:rsid w:val="220AEDB8"/>
    <w:rsid w:val="22143B09"/>
    <w:rsid w:val="222F4EAE"/>
    <w:rsid w:val="2267F2DC"/>
    <w:rsid w:val="22751617"/>
    <w:rsid w:val="22E3DC2E"/>
    <w:rsid w:val="2341A7E6"/>
    <w:rsid w:val="23B132A6"/>
    <w:rsid w:val="2406862C"/>
    <w:rsid w:val="242F6720"/>
    <w:rsid w:val="24CBE027"/>
    <w:rsid w:val="24D507E1"/>
    <w:rsid w:val="25C364C9"/>
    <w:rsid w:val="26285CDC"/>
    <w:rsid w:val="263AEC4B"/>
    <w:rsid w:val="26CA3E9A"/>
    <w:rsid w:val="26D46E7F"/>
    <w:rsid w:val="26D7839F"/>
    <w:rsid w:val="277BF343"/>
    <w:rsid w:val="27940082"/>
    <w:rsid w:val="2823080E"/>
    <w:rsid w:val="28DAC8C0"/>
    <w:rsid w:val="294CDC4C"/>
    <w:rsid w:val="29A7B273"/>
    <w:rsid w:val="29DAC9D0"/>
    <w:rsid w:val="29F3F09A"/>
    <w:rsid w:val="2A547206"/>
    <w:rsid w:val="2AF50934"/>
    <w:rsid w:val="2B602910"/>
    <w:rsid w:val="2DAB3ED1"/>
    <w:rsid w:val="2EE566C0"/>
    <w:rsid w:val="2EFD5C57"/>
    <w:rsid w:val="2F804357"/>
    <w:rsid w:val="2F86C27C"/>
    <w:rsid w:val="2F929078"/>
    <w:rsid w:val="2F9B42EE"/>
    <w:rsid w:val="2FAAE2F9"/>
    <w:rsid w:val="2FB3D33C"/>
    <w:rsid w:val="2FE33298"/>
    <w:rsid w:val="300930CB"/>
    <w:rsid w:val="304516B3"/>
    <w:rsid w:val="318FA5D9"/>
    <w:rsid w:val="319B29DC"/>
    <w:rsid w:val="31AE8E95"/>
    <w:rsid w:val="31B06131"/>
    <w:rsid w:val="31EB5541"/>
    <w:rsid w:val="321923FC"/>
    <w:rsid w:val="322BB7FB"/>
    <w:rsid w:val="325625B1"/>
    <w:rsid w:val="32761458"/>
    <w:rsid w:val="328CC05C"/>
    <w:rsid w:val="32CA313A"/>
    <w:rsid w:val="330FA65B"/>
    <w:rsid w:val="342F13BD"/>
    <w:rsid w:val="346D3E49"/>
    <w:rsid w:val="347E541C"/>
    <w:rsid w:val="34977C79"/>
    <w:rsid w:val="34A1F106"/>
    <w:rsid w:val="3502E809"/>
    <w:rsid w:val="351AB88F"/>
    <w:rsid w:val="35571D02"/>
    <w:rsid w:val="35AA5862"/>
    <w:rsid w:val="361A247D"/>
    <w:rsid w:val="3669E0C2"/>
    <w:rsid w:val="36784F7A"/>
    <w:rsid w:val="36B9D1B8"/>
    <w:rsid w:val="378AD1E6"/>
    <w:rsid w:val="3796DA3F"/>
    <w:rsid w:val="37B2A3EC"/>
    <w:rsid w:val="37B700BD"/>
    <w:rsid w:val="38886580"/>
    <w:rsid w:val="39CF2A0F"/>
    <w:rsid w:val="39F2C337"/>
    <w:rsid w:val="39FF3B15"/>
    <w:rsid w:val="3AC195B0"/>
    <w:rsid w:val="3AC8E19C"/>
    <w:rsid w:val="3AD3D4AD"/>
    <w:rsid w:val="3B4F7837"/>
    <w:rsid w:val="3B50C762"/>
    <w:rsid w:val="3BE8A30E"/>
    <w:rsid w:val="3C64B1FD"/>
    <w:rsid w:val="3C840C10"/>
    <w:rsid w:val="3D064F4A"/>
    <w:rsid w:val="3E00825E"/>
    <w:rsid w:val="3E1BDB5C"/>
    <w:rsid w:val="3E35BD16"/>
    <w:rsid w:val="3E8F8891"/>
    <w:rsid w:val="3F23BDFD"/>
    <w:rsid w:val="3F6ABD6F"/>
    <w:rsid w:val="3FA702A2"/>
    <w:rsid w:val="3FE9519E"/>
    <w:rsid w:val="40048CD1"/>
    <w:rsid w:val="4035C073"/>
    <w:rsid w:val="4039372B"/>
    <w:rsid w:val="40A7FFD5"/>
    <w:rsid w:val="40B1540C"/>
    <w:rsid w:val="40BE4052"/>
    <w:rsid w:val="4123747F"/>
    <w:rsid w:val="41327B54"/>
    <w:rsid w:val="4152C6EA"/>
    <w:rsid w:val="41C0E442"/>
    <w:rsid w:val="422DD83D"/>
    <w:rsid w:val="4237354C"/>
    <w:rsid w:val="4309E25C"/>
    <w:rsid w:val="43230AB9"/>
    <w:rsid w:val="43B9DD50"/>
    <w:rsid w:val="43CB1827"/>
    <w:rsid w:val="43E0DED1"/>
    <w:rsid w:val="44B6F7F0"/>
    <w:rsid w:val="44D83FE5"/>
    <w:rsid w:val="44FFE376"/>
    <w:rsid w:val="451FAADF"/>
    <w:rsid w:val="45513055"/>
    <w:rsid w:val="4599A623"/>
    <w:rsid w:val="46362B61"/>
    <w:rsid w:val="463D69E3"/>
    <w:rsid w:val="46743C92"/>
    <w:rsid w:val="468A4B6B"/>
    <w:rsid w:val="469BB3D7"/>
    <w:rsid w:val="4702B8E9"/>
    <w:rsid w:val="47108F29"/>
    <w:rsid w:val="471AD81B"/>
    <w:rsid w:val="47240B3A"/>
    <w:rsid w:val="475D766B"/>
    <w:rsid w:val="47B1292C"/>
    <w:rsid w:val="47F67BDC"/>
    <w:rsid w:val="486A999F"/>
    <w:rsid w:val="488924AB"/>
    <w:rsid w:val="489E894A"/>
    <w:rsid w:val="49003434"/>
    <w:rsid w:val="49414E3A"/>
    <w:rsid w:val="4947CA12"/>
    <w:rsid w:val="49725D96"/>
    <w:rsid w:val="49B39E8E"/>
    <w:rsid w:val="4A3F0DF5"/>
    <w:rsid w:val="4A6DF91D"/>
    <w:rsid w:val="4AD95396"/>
    <w:rsid w:val="4B0E2DF7"/>
    <w:rsid w:val="4B532380"/>
    <w:rsid w:val="4BBAA7AE"/>
    <w:rsid w:val="4C13A88D"/>
    <w:rsid w:val="4C32C367"/>
    <w:rsid w:val="4C8FA93F"/>
    <w:rsid w:val="4D190D5D"/>
    <w:rsid w:val="4D462241"/>
    <w:rsid w:val="4D76AEB7"/>
    <w:rsid w:val="4DD4ADA8"/>
    <w:rsid w:val="4E14CBC9"/>
    <w:rsid w:val="4F00DBB6"/>
    <w:rsid w:val="4F2B8CC9"/>
    <w:rsid w:val="4F7CC467"/>
    <w:rsid w:val="504B3B46"/>
    <w:rsid w:val="50B188B5"/>
    <w:rsid w:val="52179BDF"/>
    <w:rsid w:val="525C77E5"/>
    <w:rsid w:val="5266BDE1"/>
    <w:rsid w:val="526CAEB7"/>
    <w:rsid w:val="526CFF47"/>
    <w:rsid w:val="527FE827"/>
    <w:rsid w:val="528AC1EC"/>
    <w:rsid w:val="52C999F8"/>
    <w:rsid w:val="53392E83"/>
    <w:rsid w:val="536A1824"/>
    <w:rsid w:val="54098192"/>
    <w:rsid w:val="54B12982"/>
    <w:rsid w:val="54FB7D3D"/>
    <w:rsid w:val="555F791A"/>
    <w:rsid w:val="56B599B1"/>
    <w:rsid w:val="56F16617"/>
    <w:rsid w:val="57143388"/>
    <w:rsid w:val="571CCC34"/>
    <w:rsid w:val="57F37749"/>
    <w:rsid w:val="57F49E85"/>
    <w:rsid w:val="57F73B07"/>
    <w:rsid w:val="581AE117"/>
    <w:rsid w:val="58533C37"/>
    <w:rsid w:val="58559588"/>
    <w:rsid w:val="58622CCD"/>
    <w:rsid w:val="58A49939"/>
    <w:rsid w:val="58FFFBCA"/>
    <w:rsid w:val="59014EC6"/>
    <w:rsid w:val="59774689"/>
    <w:rsid w:val="59E9A27F"/>
    <w:rsid w:val="5A1B9992"/>
    <w:rsid w:val="5A5EE8CF"/>
    <w:rsid w:val="5A7C264C"/>
    <w:rsid w:val="5AE25554"/>
    <w:rsid w:val="5AEF4EBE"/>
    <w:rsid w:val="5B19DD34"/>
    <w:rsid w:val="5B2C3F47"/>
    <w:rsid w:val="5B359524"/>
    <w:rsid w:val="5C5DD151"/>
    <w:rsid w:val="5C85E711"/>
    <w:rsid w:val="5CB8B995"/>
    <w:rsid w:val="5CCED5F2"/>
    <w:rsid w:val="5DE8CF62"/>
    <w:rsid w:val="5E0F2C1D"/>
    <w:rsid w:val="5E4F7B20"/>
    <w:rsid w:val="5EE57678"/>
    <w:rsid w:val="5F03C696"/>
    <w:rsid w:val="5F921476"/>
    <w:rsid w:val="5FB74B85"/>
    <w:rsid w:val="607D2264"/>
    <w:rsid w:val="608066D8"/>
    <w:rsid w:val="608C5E72"/>
    <w:rsid w:val="60D741BF"/>
    <w:rsid w:val="6182586E"/>
    <w:rsid w:val="61C1ED46"/>
    <w:rsid w:val="61D2B243"/>
    <w:rsid w:val="62323F67"/>
    <w:rsid w:val="627CE1AB"/>
    <w:rsid w:val="62AE9E0F"/>
    <w:rsid w:val="62E54EC9"/>
    <w:rsid w:val="63C5F903"/>
    <w:rsid w:val="6412F1AD"/>
    <w:rsid w:val="6420DE30"/>
    <w:rsid w:val="642D832B"/>
    <w:rsid w:val="646FD3F1"/>
    <w:rsid w:val="64825BF7"/>
    <w:rsid w:val="65048779"/>
    <w:rsid w:val="653714A1"/>
    <w:rsid w:val="65920A57"/>
    <w:rsid w:val="65EFB2A1"/>
    <w:rsid w:val="65F7C6B8"/>
    <w:rsid w:val="66136F24"/>
    <w:rsid w:val="66919D1C"/>
    <w:rsid w:val="671A63F3"/>
    <w:rsid w:val="6757E8D8"/>
    <w:rsid w:val="67C2697B"/>
    <w:rsid w:val="67E44B50"/>
    <w:rsid w:val="67FEF10A"/>
    <w:rsid w:val="68004DC2"/>
    <w:rsid w:val="6830D2EF"/>
    <w:rsid w:val="68790805"/>
    <w:rsid w:val="68CE939D"/>
    <w:rsid w:val="69D90AE6"/>
    <w:rsid w:val="69E5D4A6"/>
    <w:rsid w:val="6AB60076"/>
    <w:rsid w:val="6AEED16A"/>
    <w:rsid w:val="6B067C15"/>
    <w:rsid w:val="6B7BB683"/>
    <w:rsid w:val="6BAF8CD4"/>
    <w:rsid w:val="6BD563B5"/>
    <w:rsid w:val="6C54D5A0"/>
    <w:rsid w:val="6C62D7E7"/>
    <w:rsid w:val="6C732AC9"/>
    <w:rsid w:val="6D049FED"/>
    <w:rsid w:val="6D0C41C0"/>
    <w:rsid w:val="6D235CB3"/>
    <w:rsid w:val="6D7D98DB"/>
    <w:rsid w:val="6DA8FF8A"/>
    <w:rsid w:val="6E80CA1D"/>
    <w:rsid w:val="6E8984EE"/>
    <w:rsid w:val="6EF71328"/>
    <w:rsid w:val="6F059A78"/>
    <w:rsid w:val="6F2561E1"/>
    <w:rsid w:val="6F5B64B3"/>
    <w:rsid w:val="6F852966"/>
    <w:rsid w:val="6FF24BAF"/>
    <w:rsid w:val="7004995D"/>
    <w:rsid w:val="700BB57A"/>
    <w:rsid w:val="700C71F1"/>
    <w:rsid w:val="701AA3FA"/>
    <w:rsid w:val="70480789"/>
    <w:rsid w:val="717CFACF"/>
    <w:rsid w:val="71A069BE"/>
    <w:rsid w:val="71EB45D4"/>
    <w:rsid w:val="72163A7A"/>
    <w:rsid w:val="72296461"/>
    <w:rsid w:val="72AD062E"/>
    <w:rsid w:val="73031BF0"/>
    <w:rsid w:val="733836F5"/>
    <w:rsid w:val="7346E3EF"/>
    <w:rsid w:val="73AEF5C8"/>
    <w:rsid w:val="73DFAAA7"/>
    <w:rsid w:val="74687FC0"/>
    <w:rsid w:val="74864A22"/>
    <w:rsid w:val="749EEC51"/>
    <w:rsid w:val="74A1C4D2"/>
    <w:rsid w:val="74DE1CAC"/>
    <w:rsid w:val="758DDA38"/>
    <w:rsid w:val="75E83804"/>
    <w:rsid w:val="76045021"/>
    <w:rsid w:val="7710FEA9"/>
    <w:rsid w:val="773201F5"/>
    <w:rsid w:val="7740E165"/>
    <w:rsid w:val="77C1C0EF"/>
    <w:rsid w:val="77E22894"/>
    <w:rsid w:val="78101171"/>
    <w:rsid w:val="782A8BC4"/>
    <w:rsid w:val="78A28631"/>
    <w:rsid w:val="78B72553"/>
    <w:rsid w:val="78E504E9"/>
    <w:rsid w:val="78F84162"/>
    <w:rsid w:val="7900C99E"/>
    <w:rsid w:val="7929CA40"/>
    <w:rsid w:val="795AFDF1"/>
    <w:rsid w:val="7978B9DE"/>
    <w:rsid w:val="79F3C46A"/>
    <w:rsid w:val="7A271067"/>
    <w:rsid w:val="7A9E175A"/>
    <w:rsid w:val="7B20EAB5"/>
    <w:rsid w:val="7C068354"/>
    <w:rsid w:val="7C0CDD52"/>
    <w:rsid w:val="7C5C3354"/>
    <w:rsid w:val="7D0B3716"/>
    <w:rsid w:val="7D710FDD"/>
    <w:rsid w:val="7D9DEEE2"/>
    <w:rsid w:val="7E5A49B6"/>
    <w:rsid w:val="7E60F258"/>
    <w:rsid w:val="7E899696"/>
    <w:rsid w:val="7ED5A245"/>
    <w:rsid w:val="7EDE8266"/>
    <w:rsid w:val="7F16FBE2"/>
    <w:rsid w:val="7F39918A"/>
    <w:rsid w:val="7F449291"/>
    <w:rsid w:val="7F490400"/>
    <w:rsid w:val="7F7B7C2E"/>
    <w:rsid w:val="7FBCF4B2"/>
    <w:rsid w:val="7FE49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A623"/>
  <w15:docId w15:val="{90E79085-C55F-4E90-9413-81E0D58F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character" w:styleId="SonNotBavurusu">
    <w:name w:val="endnote reference"/>
    <w:basedOn w:val="VarsaylanParagrafYazTipi"/>
    <w:uiPriority w:val="99"/>
    <w:semiHidden/>
    <w:unhideWhenUsed/>
    <w:rPr>
      <w:vertAlign w:val="superscript"/>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SonNotMetniChar">
    <w:name w:val="Son Not Metni Char"/>
    <w:basedOn w:val="VarsaylanParagrafYazTipi"/>
    <w:link w:val="SonNotMetni"/>
    <w:uiPriority w:val="99"/>
    <w:semiHidden/>
    <w:rPr>
      <w:sz w:val="20"/>
      <w:szCs w:val="20"/>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styleId="Kpr">
    <w:name w:val="Hyperlink"/>
    <w:basedOn w:val="VarsaylanParagrafYazTipi"/>
    <w:uiPriority w:val="99"/>
    <w:unhideWhenUsed/>
    <w:rPr>
      <w:color w:val="0563C1" w:themeColor="hyperlink"/>
      <w:u w:val="single"/>
    </w:rPr>
  </w:style>
  <w:style w:type="table" w:customStyle="1" w:styleId="DzTablo51">
    <w:name w:val="Düz Tablo 51"/>
    <w:basedOn w:val="NormalTablo"/>
    <w:uiPriority w:val="45"/>
    <w:rsid w:val="00DC58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DC58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Paragraf">
    <w:name w:val="List Paragraph"/>
    <w:basedOn w:val="Normal"/>
    <w:uiPriority w:val="34"/>
    <w:qFormat/>
    <w:rsid w:val="00BE2C5A"/>
    <w:pPr>
      <w:ind w:left="720"/>
      <w:contextualSpacing/>
    </w:pPr>
  </w:style>
  <w:style w:type="paragraph" w:styleId="BalonMetni">
    <w:name w:val="Balloon Text"/>
    <w:basedOn w:val="Normal"/>
    <w:link w:val="BalonMetniChar"/>
    <w:uiPriority w:val="99"/>
    <w:semiHidden/>
    <w:unhideWhenUsed/>
    <w:rsid w:val="000777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7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084366">
      <w:bodyDiv w:val="1"/>
      <w:marLeft w:val="0"/>
      <w:marRight w:val="0"/>
      <w:marTop w:val="0"/>
      <w:marBottom w:val="0"/>
      <w:divBdr>
        <w:top w:val="none" w:sz="0" w:space="0" w:color="auto"/>
        <w:left w:val="none" w:sz="0" w:space="0" w:color="auto"/>
        <w:bottom w:val="none" w:sz="0" w:space="0" w:color="auto"/>
        <w:right w:val="none" w:sz="0" w:space="0" w:color="auto"/>
      </w:divBdr>
      <w:divsChild>
        <w:div w:id="35759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EM\Documents\emrah\0121_Aile%20hekimli&#287;inde%20COVID19%20takibi.%20Ocak%202021%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M\Documents\emrah\Anket%20tablol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EM\Documents\emrah\Anket%20tablola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EM\Documents\emrah\Anket%20tablola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C\Desktop\covidttb\pcranket\0221\Anket%20tablolar02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C\Desktop\covidttb\pcranket\0221\Anket%20tablolar02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C\Desktop\covidttb\pcranket\0221\Anket%20tablolar022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Sayfa5!$C$951</c:f>
              <c:strCache>
                <c:ptCount val="1"/>
                <c:pt idx="0">
                  <c:v>Türkiye PCR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Sayfa5!$D$950:$I$950</c:f>
              <c:strCache>
                <c:ptCount val="6"/>
                <c:pt idx="0">
                  <c:v>Eylül</c:v>
                </c:pt>
                <c:pt idx="1">
                  <c:v>Ekim</c:v>
                </c:pt>
                <c:pt idx="2">
                  <c:v>Kasım</c:v>
                </c:pt>
                <c:pt idx="3">
                  <c:v>Aralık</c:v>
                </c:pt>
                <c:pt idx="4">
                  <c:v>Ocak</c:v>
                </c:pt>
                <c:pt idx="5">
                  <c:v>Şubat</c:v>
                </c:pt>
              </c:strCache>
            </c:strRef>
          </c:cat>
          <c:val>
            <c:numRef>
              <c:f>Sayfa5!$D$951:$I$951</c:f>
              <c:numCache>
                <c:formatCode>General</c:formatCode>
                <c:ptCount val="6"/>
                <c:pt idx="0">
                  <c:v>8.5</c:v>
                </c:pt>
                <c:pt idx="1">
                  <c:v>6.53</c:v>
                </c:pt>
                <c:pt idx="2">
                  <c:v>19.79</c:v>
                </c:pt>
                <c:pt idx="3">
                  <c:v>22.55</c:v>
                </c:pt>
                <c:pt idx="4">
                  <c:v>3.95</c:v>
                </c:pt>
                <c:pt idx="5">
                  <c:v>2.93</c:v>
                </c:pt>
              </c:numCache>
            </c:numRef>
          </c:val>
          <c:smooth val="0"/>
          <c:extLst>
            <c:ext xmlns:c16="http://schemas.microsoft.com/office/drawing/2014/chart" uri="{C3380CC4-5D6E-409C-BE32-E72D297353CC}">
              <c16:uniqueId val="{00000000-A6F7-4D27-99A2-59CD5FBF3DBE}"/>
            </c:ext>
          </c:extLst>
        </c:ser>
        <c:ser>
          <c:idx val="1"/>
          <c:order val="1"/>
          <c:tx>
            <c:strRef>
              <c:f>Sayfa5!$C$952</c:f>
              <c:strCache>
                <c:ptCount val="1"/>
                <c:pt idx="0">
                  <c:v>Türkiye İzlem </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Sayfa5!$D$950:$I$950</c:f>
              <c:strCache>
                <c:ptCount val="6"/>
                <c:pt idx="0">
                  <c:v>Eylül</c:v>
                </c:pt>
                <c:pt idx="1">
                  <c:v>Ekim</c:v>
                </c:pt>
                <c:pt idx="2">
                  <c:v>Kasım</c:v>
                </c:pt>
                <c:pt idx="3">
                  <c:v>Aralık</c:v>
                </c:pt>
                <c:pt idx="4">
                  <c:v>Ocak</c:v>
                </c:pt>
                <c:pt idx="5">
                  <c:v>Şubat</c:v>
                </c:pt>
              </c:strCache>
            </c:strRef>
          </c:cat>
          <c:val>
            <c:numRef>
              <c:f>Sayfa5!$D$952:$I$952</c:f>
              <c:numCache>
                <c:formatCode>General</c:formatCode>
                <c:ptCount val="6"/>
                <c:pt idx="0">
                  <c:v>26.2</c:v>
                </c:pt>
                <c:pt idx="1">
                  <c:v>20.95</c:v>
                </c:pt>
                <c:pt idx="2">
                  <c:v>59.59</c:v>
                </c:pt>
                <c:pt idx="3">
                  <c:v>63.11</c:v>
                </c:pt>
                <c:pt idx="4">
                  <c:v>8.18</c:v>
                </c:pt>
                <c:pt idx="5">
                  <c:v>6.06</c:v>
                </c:pt>
              </c:numCache>
            </c:numRef>
          </c:val>
          <c:smooth val="0"/>
          <c:extLst>
            <c:ext xmlns:c16="http://schemas.microsoft.com/office/drawing/2014/chart" uri="{C3380CC4-5D6E-409C-BE32-E72D297353CC}">
              <c16:uniqueId val="{00000001-A6F7-4D27-99A2-59CD5FBF3DBE}"/>
            </c:ext>
          </c:extLst>
        </c:ser>
        <c:dLbls>
          <c:dLblPos val="ctr"/>
          <c:showLegendKey val="0"/>
          <c:showVal val="1"/>
          <c:showCatName val="0"/>
          <c:showSerName val="0"/>
          <c:showPercent val="0"/>
          <c:showBubbleSize val="0"/>
        </c:dLbls>
        <c:smooth val="0"/>
        <c:axId val="247035784"/>
        <c:axId val="247039704"/>
      </c:lineChart>
      <c:catAx>
        <c:axId val="247035784"/>
        <c:scaling>
          <c:orientation val="minMax"/>
        </c:scaling>
        <c:delete val="0"/>
        <c:axPos val="b"/>
        <c:numFmt formatCode="General" sourceLinked="0"/>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7039704"/>
        <c:crosses val="autoZero"/>
        <c:auto val="1"/>
        <c:lblAlgn val="ctr"/>
        <c:lblOffset val="100"/>
        <c:noMultiLvlLbl val="0"/>
      </c:catAx>
      <c:valAx>
        <c:axId val="2470397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70357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COVID izlem sayılarında değişim</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369850034305869E-2"/>
          <c:y val="0.18726101795728772"/>
          <c:w val="0.92202655166029557"/>
          <c:h val="0.75376033818614396"/>
        </c:manualLayout>
      </c:layout>
      <c:pie3DChart>
        <c:varyColors val="1"/>
        <c:ser>
          <c:idx val="0"/>
          <c:order val="0"/>
          <c:dPt>
            <c:idx val="0"/>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0F2-4E78-AFE1-9C9CB32F5B9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0F2-4E78-AFE1-9C9CB32F5B94}"/>
              </c:ext>
            </c:extLst>
          </c:dPt>
          <c:dPt>
            <c:idx val="2"/>
            <c:bubble3D val="0"/>
            <c:spPr>
              <a:solidFill>
                <a:schemeClr val="accent5">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0F2-4E78-AFE1-9C9CB32F5B9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1-90F2-4E78-AFE1-9C9CB32F5B9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90F2-4E78-AFE1-9C9CB32F5B9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90F2-4E78-AFE1-9C9CB32F5B9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Sayfa1!$D$119:$D$121</c:f>
              <c:strCache>
                <c:ptCount val="3"/>
                <c:pt idx="0">
                  <c:v>Arttı</c:v>
                </c:pt>
                <c:pt idx="1">
                  <c:v>Değişmedi</c:v>
                </c:pt>
                <c:pt idx="2">
                  <c:v>Azaldı</c:v>
                </c:pt>
              </c:strCache>
            </c:strRef>
          </c:cat>
          <c:val>
            <c:numRef>
              <c:f>Sayfa1!$E$119:$E$121</c:f>
              <c:numCache>
                <c:formatCode>General</c:formatCode>
                <c:ptCount val="3"/>
                <c:pt idx="0">
                  <c:v>203</c:v>
                </c:pt>
                <c:pt idx="1">
                  <c:v>87</c:v>
                </c:pt>
                <c:pt idx="2">
                  <c:v>418</c:v>
                </c:pt>
              </c:numCache>
            </c:numRef>
          </c:val>
          <c:extLst>
            <c:ext xmlns:c16="http://schemas.microsoft.com/office/drawing/2014/chart" uri="{C3380CC4-5D6E-409C-BE32-E72D297353CC}">
              <c16:uniqueId val="{00000006-90F2-4E78-AFE1-9C9CB32F5B9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Covid</a:t>
            </a:r>
            <a:r>
              <a:rPr lang="tr-TR"/>
              <a:t> Geçirilen</a:t>
            </a:r>
            <a:r>
              <a:rPr lang="en-US"/>
              <a:t> </a:t>
            </a:r>
            <a:r>
              <a:rPr lang="en-US" sz="1600" b="1" i="0" u="none" strike="noStrike" baseline="0">
                <a:effectLst/>
              </a:rPr>
              <a:t>ASM </a:t>
            </a:r>
            <a:r>
              <a:rPr lang="en-US"/>
              <a:t>Oranı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Sayfa1!$D$4</c:f>
              <c:strCache>
                <c:ptCount val="1"/>
                <c:pt idx="0">
                  <c:v>Covid geçiren var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Sayfa1!$C$5:$C$10</c:f>
              <c:strCache>
                <c:ptCount val="6"/>
                <c:pt idx="0">
                  <c:v>Eylül</c:v>
                </c:pt>
                <c:pt idx="1">
                  <c:v>Ekim</c:v>
                </c:pt>
                <c:pt idx="2">
                  <c:v>Kasım</c:v>
                </c:pt>
                <c:pt idx="3">
                  <c:v>Aralık</c:v>
                </c:pt>
                <c:pt idx="4">
                  <c:v>Ocak</c:v>
                </c:pt>
                <c:pt idx="5">
                  <c:v>Şubat</c:v>
                </c:pt>
              </c:strCache>
            </c:strRef>
          </c:cat>
          <c:val>
            <c:numRef>
              <c:f>Sayfa1!$D$5:$D$10</c:f>
              <c:numCache>
                <c:formatCode>0%</c:formatCode>
                <c:ptCount val="6"/>
                <c:pt idx="0">
                  <c:v>0.41</c:v>
                </c:pt>
                <c:pt idx="1">
                  <c:v>0.41</c:v>
                </c:pt>
                <c:pt idx="2">
                  <c:v>0.49</c:v>
                </c:pt>
                <c:pt idx="3">
                  <c:v>0.68</c:v>
                </c:pt>
                <c:pt idx="4">
                  <c:v>0.68</c:v>
                </c:pt>
                <c:pt idx="5">
                  <c:v>0.75</c:v>
                </c:pt>
              </c:numCache>
            </c:numRef>
          </c:val>
          <c:extLst>
            <c:ext xmlns:c16="http://schemas.microsoft.com/office/drawing/2014/chart" uri="{C3380CC4-5D6E-409C-BE32-E72D297353CC}">
              <c16:uniqueId val="{00000000-4A6E-4436-9DDB-7AF58728DF59}"/>
            </c:ext>
          </c:extLst>
        </c:ser>
        <c:ser>
          <c:idx val="1"/>
          <c:order val="1"/>
          <c:tx>
            <c:strRef>
              <c:f>Sayfa1!$E$4</c:f>
              <c:strCache>
                <c:ptCount val="1"/>
                <c:pt idx="0">
                  <c:v>Covid geçiren yok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Sayfa1!$C$5:$C$10</c:f>
              <c:strCache>
                <c:ptCount val="6"/>
                <c:pt idx="0">
                  <c:v>Eylül</c:v>
                </c:pt>
                <c:pt idx="1">
                  <c:v>Ekim</c:v>
                </c:pt>
                <c:pt idx="2">
                  <c:v>Kasım</c:v>
                </c:pt>
                <c:pt idx="3">
                  <c:v>Aralık</c:v>
                </c:pt>
                <c:pt idx="4">
                  <c:v>Ocak</c:v>
                </c:pt>
                <c:pt idx="5">
                  <c:v>Şubat</c:v>
                </c:pt>
              </c:strCache>
            </c:strRef>
          </c:cat>
          <c:val>
            <c:numRef>
              <c:f>Sayfa1!$E$5:$E$10</c:f>
              <c:numCache>
                <c:formatCode>0%</c:formatCode>
                <c:ptCount val="6"/>
                <c:pt idx="0">
                  <c:v>0.59</c:v>
                </c:pt>
                <c:pt idx="1">
                  <c:v>0.59</c:v>
                </c:pt>
                <c:pt idx="2">
                  <c:v>0.51</c:v>
                </c:pt>
                <c:pt idx="3">
                  <c:v>0.32</c:v>
                </c:pt>
                <c:pt idx="4">
                  <c:v>0.32</c:v>
                </c:pt>
                <c:pt idx="5">
                  <c:v>0.25</c:v>
                </c:pt>
              </c:numCache>
            </c:numRef>
          </c:val>
          <c:extLst>
            <c:ext xmlns:c16="http://schemas.microsoft.com/office/drawing/2014/chart" uri="{C3380CC4-5D6E-409C-BE32-E72D297353CC}">
              <c16:uniqueId val="{00000001-4A6E-4436-9DDB-7AF58728DF59}"/>
            </c:ext>
          </c:extLst>
        </c:ser>
        <c:dLbls>
          <c:showLegendKey val="0"/>
          <c:showVal val="1"/>
          <c:showCatName val="0"/>
          <c:showSerName val="0"/>
          <c:showPercent val="0"/>
          <c:showBubbleSize val="0"/>
        </c:dLbls>
        <c:gapWidth val="150"/>
        <c:shape val="box"/>
        <c:axId val="247039312"/>
        <c:axId val="247036176"/>
        <c:axId val="0"/>
      </c:bar3DChart>
      <c:catAx>
        <c:axId val="2470393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7036176"/>
        <c:crosses val="autoZero"/>
        <c:auto val="1"/>
        <c:lblAlgn val="ctr"/>
        <c:lblOffset val="100"/>
        <c:noMultiLvlLbl val="0"/>
      </c:catAx>
      <c:valAx>
        <c:axId val="247036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703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COVID-19 aşısı oldunuz mu?</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7BA-456B-8CDB-F585C2802246}"/>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7BA-456B-8CDB-F585C2802246}"/>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7BA-456B-8CDB-F585C280224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1-67BA-456B-8CDB-F585C280224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67BA-456B-8CDB-F585C280224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67BA-456B-8CDB-F585C280224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Sayfa1!$D$184:$D$186</c:f>
              <c:strCache>
                <c:ptCount val="3"/>
                <c:pt idx="0">
                  <c:v>COVID-19 aşısı oldunuz mu?</c:v>
                </c:pt>
                <c:pt idx="1">
                  <c:v>Evet</c:v>
                </c:pt>
                <c:pt idx="2">
                  <c:v>Hayır</c:v>
                </c:pt>
              </c:strCache>
            </c:strRef>
          </c:cat>
          <c:val>
            <c:numRef>
              <c:f>Sayfa1!$E$184:$E$186</c:f>
              <c:numCache>
                <c:formatCode>General</c:formatCode>
                <c:ptCount val="3"/>
                <c:pt idx="1">
                  <c:v>647</c:v>
                </c:pt>
                <c:pt idx="2">
                  <c:v>63</c:v>
                </c:pt>
              </c:numCache>
            </c:numRef>
          </c:val>
          <c:extLst>
            <c:ext xmlns:c16="http://schemas.microsoft.com/office/drawing/2014/chart" uri="{C3380CC4-5D6E-409C-BE32-E72D297353CC}">
              <c16:uniqueId val="{00000006-67BA-456B-8CDB-F585C2802246}"/>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COVID Aşısı Olmama Nedenleri</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'[Anket tablolar0221.xlsx]Sayfa1'!$U$142:$U$147</c:f>
              <c:strCache>
                <c:ptCount val="6"/>
                <c:pt idx="0">
                  <c:v>Hastalığın gereğinde fazla abartıldığını düşünüyorum</c:v>
                </c:pt>
                <c:pt idx="1">
                  <c:v>Diğer</c:v>
                </c:pt>
                <c:pt idx="2">
                  <c:v>Sağlık durumum nedeniyle (Gebelik, kemoterapi, hastalık vb)</c:v>
                </c:pt>
                <c:pt idx="3">
                  <c:v>Yan etkileri konusunda şüphelerim var</c:v>
                </c:pt>
                <c:pt idx="4">
                  <c:v>Etkinliği konusunda şüphelerim var</c:v>
                </c:pt>
                <c:pt idx="5">
                  <c:v>Antikorum var/ COVID-19 geçirdim</c:v>
                </c:pt>
              </c:strCache>
            </c:strRef>
          </c:cat>
          <c:val>
            <c:numRef>
              <c:f>'[Anket tablolar0221.xlsx]Sayfa1'!$V$142:$V$147</c:f>
              <c:numCache>
                <c:formatCode>General</c:formatCode>
                <c:ptCount val="6"/>
                <c:pt idx="0">
                  <c:v>2</c:v>
                </c:pt>
                <c:pt idx="1">
                  <c:v>6</c:v>
                </c:pt>
                <c:pt idx="2">
                  <c:v>7</c:v>
                </c:pt>
                <c:pt idx="3">
                  <c:v>13</c:v>
                </c:pt>
                <c:pt idx="4">
                  <c:v>16</c:v>
                </c:pt>
                <c:pt idx="5">
                  <c:v>29</c:v>
                </c:pt>
              </c:numCache>
            </c:numRef>
          </c:val>
          <c:extLst>
            <c:ext xmlns:c16="http://schemas.microsoft.com/office/drawing/2014/chart" uri="{C3380CC4-5D6E-409C-BE32-E72D297353CC}">
              <c16:uniqueId val="{00000000-A0D5-4723-955F-A2B66DC2EF3B}"/>
            </c:ext>
          </c:extLst>
        </c:ser>
        <c:dLbls>
          <c:showLegendKey val="0"/>
          <c:showVal val="0"/>
          <c:showCatName val="0"/>
          <c:showSerName val="0"/>
          <c:showPercent val="0"/>
          <c:showBubbleSize val="0"/>
        </c:dLbls>
        <c:gapWidth val="115"/>
        <c:overlap val="-20"/>
        <c:axId val="247036960"/>
        <c:axId val="336565616"/>
      </c:barChart>
      <c:catAx>
        <c:axId val="247036960"/>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36565616"/>
        <c:crosses val="autoZero"/>
        <c:auto val="1"/>
        <c:lblAlgn val="ctr"/>
        <c:lblOffset val="100"/>
        <c:noMultiLvlLbl val="0"/>
      </c:catAx>
      <c:valAx>
        <c:axId val="336565616"/>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703696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Nüfusunuzun Ne Kadarı</a:t>
            </a:r>
            <a:r>
              <a:rPr lang="tr-TR" baseline="0"/>
              <a:t> Aşılanır?</a:t>
            </a:r>
            <a:endParaRPr lang="tr-T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28-4EF7-BD06-0FC16B280251}"/>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228-4EF7-BD06-0FC16B280251}"/>
              </c:ext>
            </c:extLst>
          </c:dPt>
          <c:dPt>
            <c:idx val="2"/>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228-4EF7-BD06-0FC16B280251}"/>
              </c:ext>
            </c:extLst>
          </c:dPt>
          <c:dPt>
            <c:idx val="3"/>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228-4EF7-BD06-0FC16B280251}"/>
              </c:ext>
            </c:extLst>
          </c:dPt>
          <c:dPt>
            <c:idx val="4"/>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228-4EF7-BD06-0FC16B28025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228-4EF7-BD06-0FC16B28025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'[Anket tablolar0221.xlsx]Sayfa1'!$U$162:$U$167</c:f>
              <c:strCache>
                <c:ptCount val="6"/>
                <c:pt idx="0">
                  <c:v>% 80-100</c:v>
                </c:pt>
                <c:pt idx="1">
                  <c:v>%60-79</c:v>
                </c:pt>
                <c:pt idx="2">
                  <c:v>%40-59</c:v>
                </c:pt>
                <c:pt idx="3">
                  <c:v>%20-39</c:v>
                </c:pt>
                <c:pt idx="4">
                  <c:v>%20'de azı</c:v>
                </c:pt>
                <c:pt idx="5">
                  <c:v>Bilmiyorum/Emin değilim</c:v>
                </c:pt>
              </c:strCache>
            </c:strRef>
          </c:cat>
          <c:val>
            <c:numRef>
              <c:f>'[Anket tablolar0221.xlsx]Sayfa1'!$V$162:$V$167</c:f>
              <c:numCache>
                <c:formatCode>General</c:formatCode>
                <c:ptCount val="6"/>
                <c:pt idx="0">
                  <c:v>185</c:v>
                </c:pt>
                <c:pt idx="1">
                  <c:v>291</c:v>
                </c:pt>
                <c:pt idx="2">
                  <c:v>151</c:v>
                </c:pt>
                <c:pt idx="3">
                  <c:v>37</c:v>
                </c:pt>
                <c:pt idx="4">
                  <c:v>9</c:v>
                </c:pt>
                <c:pt idx="5">
                  <c:v>32</c:v>
                </c:pt>
              </c:numCache>
            </c:numRef>
          </c:val>
          <c:extLst>
            <c:ext xmlns:c16="http://schemas.microsoft.com/office/drawing/2014/chart" uri="{C3380CC4-5D6E-409C-BE32-E72D297353CC}">
              <c16:uniqueId val="{0000000C-D228-4EF7-BD06-0FC16B28025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Bakanlık Koruyucu Ekipman Desteği Sağlıyor Mu?</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plotArea>
      <c:layout>
        <c:manualLayout>
          <c:layoutTarget val="inner"/>
          <c:xMode val="edge"/>
          <c:yMode val="edge"/>
          <c:x val="4.1666666666666664E-2"/>
          <c:y val="0.13414370078740157"/>
          <c:w val="0.91237051618547671"/>
          <c:h val="0.77697543015456405"/>
        </c:manualLayout>
      </c:layout>
      <c:barChart>
        <c:barDir val="col"/>
        <c:grouping val="clustered"/>
        <c:varyColors val="0"/>
        <c:ser>
          <c:idx val="0"/>
          <c:order val="0"/>
          <c:tx>
            <c:strRef>
              <c:f>'[Anket tablolar0221.xlsx]Sayfa1'!$E$168</c:f>
              <c:strCache>
                <c:ptCount val="1"/>
                <c:pt idx="0">
                  <c:v>Tümüyle yeterli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'[Anket tablolar0221.xlsx]Sayfa1'!$D$169:$D$173</c:f>
              <c:strCache>
                <c:ptCount val="5"/>
                <c:pt idx="0">
                  <c:v>Cerrahi Maske</c:v>
                </c:pt>
                <c:pt idx="1">
                  <c:v>N95/FFP maske</c:v>
                </c:pt>
                <c:pt idx="2">
                  <c:v>Eldiven</c:v>
                </c:pt>
                <c:pt idx="3">
                  <c:v>Siperlik</c:v>
                </c:pt>
                <c:pt idx="4">
                  <c:v>Yüzey temizleyici
</c:v>
                </c:pt>
              </c:strCache>
            </c:strRef>
          </c:cat>
          <c:val>
            <c:numRef>
              <c:f>'[Anket tablolar0221.xlsx]Sayfa1'!$E$169:$E$173</c:f>
              <c:numCache>
                <c:formatCode>General</c:formatCode>
                <c:ptCount val="5"/>
                <c:pt idx="0">
                  <c:v>149</c:v>
                </c:pt>
                <c:pt idx="1">
                  <c:v>32</c:v>
                </c:pt>
                <c:pt idx="2">
                  <c:v>36</c:v>
                </c:pt>
                <c:pt idx="3">
                  <c:v>111</c:v>
                </c:pt>
                <c:pt idx="4">
                  <c:v>39</c:v>
                </c:pt>
              </c:numCache>
            </c:numRef>
          </c:val>
          <c:extLst>
            <c:ext xmlns:c16="http://schemas.microsoft.com/office/drawing/2014/chart" uri="{C3380CC4-5D6E-409C-BE32-E72D297353CC}">
              <c16:uniqueId val="{00000000-A5A3-455B-9581-735D1E2A39C1}"/>
            </c:ext>
          </c:extLst>
        </c:ser>
        <c:ser>
          <c:idx val="1"/>
          <c:order val="1"/>
          <c:tx>
            <c:strRef>
              <c:f>'[Anket tablolar0221.xlsx]Sayfa1'!$F$168</c:f>
              <c:strCache>
                <c:ptCount val="1"/>
                <c:pt idx="0">
                  <c:v>Kısmen yeterli</c:v>
                </c:pt>
              </c:strCache>
            </c:strRef>
          </c:tx>
          <c:spPr>
            <a:solidFill>
              <a:schemeClr val="accent5">
                <a:lumMod val="40000"/>
                <a:lumOff val="60000"/>
              </a:schemeClr>
            </a:solidFill>
            <a:ln>
              <a:noFill/>
            </a:ln>
            <a:effectLst/>
          </c:spPr>
          <c:invertIfNegative val="0"/>
          <c:cat>
            <c:strRef>
              <c:f>'[Anket tablolar0221.xlsx]Sayfa1'!$D$169:$D$173</c:f>
              <c:strCache>
                <c:ptCount val="5"/>
                <c:pt idx="0">
                  <c:v>Cerrahi Maske</c:v>
                </c:pt>
                <c:pt idx="1">
                  <c:v>N95/FFP maske</c:v>
                </c:pt>
                <c:pt idx="2">
                  <c:v>Eldiven</c:v>
                </c:pt>
                <c:pt idx="3">
                  <c:v>Siperlik</c:v>
                </c:pt>
                <c:pt idx="4">
                  <c:v>Yüzey temizleyici
</c:v>
                </c:pt>
              </c:strCache>
            </c:strRef>
          </c:cat>
          <c:val>
            <c:numRef>
              <c:f>'[Anket tablolar0221.xlsx]Sayfa1'!$F$169:$F$173</c:f>
              <c:numCache>
                <c:formatCode>General</c:formatCode>
                <c:ptCount val="5"/>
                <c:pt idx="0">
                  <c:v>197</c:v>
                </c:pt>
                <c:pt idx="1">
                  <c:v>81</c:v>
                </c:pt>
                <c:pt idx="2">
                  <c:v>52</c:v>
                </c:pt>
                <c:pt idx="3">
                  <c:v>155</c:v>
                </c:pt>
                <c:pt idx="4">
                  <c:v>78</c:v>
                </c:pt>
              </c:numCache>
            </c:numRef>
          </c:val>
          <c:extLst>
            <c:ext xmlns:c16="http://schemas.microsoft.com/office/drawing/2014/chart" uri="{C3380CC4-5D6E-409C-BE32-E72D297353CC}">
              <c16:uniqueId val="{00000001-A5A3-455B-9581-735D1E2A39C1}"/>
            </c:ext>
          </c:extLst>
        </c:ser>
        <c:ser>
          <c:idx val="2"/>
          <c:order val="2"/>
          <c:tx>
            <c:strRef>
              <c:f>'[Anket tablolar0221.xlsx]Sayfa1'!$G$168</c:f>
              <c:strCache>
                <c:ptCount val="1"/>
                <c:pt idx="0">
                  <c:v>Yetersiz</c:v>
                </c:pt>
              </c:strCache>
            </c:strRef>
          </c:tx>
          <c:spPr>
            <a:solidFill>
              <a:srgbClr val="FFC000"/>
            </a:solidFill>
            <a:ln>
              <a:noFill/>
            </a:ln>
            <a:effectLst/>
          </c:spPr>
          <c:invertIfNegative val="0"/>
          <c:cat>
            <c:strRef>
              <c:f>'[Anket tablolar0221.xlsx]Sayfa1'!$D$169:$D$173</c:f>
              <c:strCache>
                <c:ptCount val="5"/>
                <c:pt idx="0">
                  <c:v>Cerrahi Maske</c:v>
                </c:pt>
                <c:pt idx="1">
                  <c:v>N95/FFP maske</c:v>
                </c:pt>
                <c:pt idx="2">
                  <c:v>Eldiven</c:v>
                </c:pt>
                <c:pt idx="3">
                  <c:v>Siperlik</c:v>
                </c:pt>
                <c:pt idx="4">
                  <c:v>Yüzey temizleyici
</c:v>
                </c:pt>
              </c:strCache>
            </c:strRef>
          </c:cat>
          <c:val>
            <c:numRef>
              <c:f>'[Anket tablolar0221.xlsx]Sayfa1'!$G$169:$G$173</c:f>
              <c:numCache>
                <c:formatCode>General</c:formatCode>
                <c:ptCount val="5"/>
                <c:pt idx="0">
                  <c:v>213</c:v>
                </c:pt>
                <c:pt idx="1">
                  <c:v>237</c:v>
                </c:pt>
                <c:pt idx="2">
                  <c:v>223</c:v>
                </c:pt>
                <c:pt idx="3">
                  <c:v>177</c:v>
                </c:pt>
                <c:pt idx="4">
                  <c:v>224</c:v>
                </c:pt>
              </c:numCache>
            </c:numRef>
          </c:val>
          <c:extLst>
            <c:ext xmlns:c16="http://schemas.microsoft.com/office/drawing/2014/chart" uri="{C3380CC4-5D6E-409C-BE32-E72D297353CC}">
              <c16:uniqueId val="{00000002-A5A3-455B-9581-735D1E2A39C1}"/>
            </c:ext>
          </c:extLst>
        </c:ser>
        <c:ser>
          <c:idx val="3"/>
          <c:order val="3"/>
          <c:tx>
            <c:strRef>
              <c:f>'[Anket tablolar0221.xlsx]Sayfa1'!$H$168</c:f>
              <c:strCache>
                <c:ptCount val="1"/>
                <c:pt idx="0">
                  <c:v>Tümüyle yetersiz</c:v>
                </c:pt>
              </c:strCache>
            </c:strRef>
          </c:tx>
          <c:spPr>
            <a:solidFill>
              <a:srgbClr val="FF0000"/>
            </a:solidFill>
            <a:ln>
              <a:noFill/>
            </a:ln>
            <a:effectLst/>
          </c:spPr>
          <c:invertIfNegative val="0"/>
          <c:cat>
            <c:strRef>
              <c:f>'[Anket tablolar0221.xlsx]Sayfa1'!$D$169:$D$173</c:f>
              <c:strCache>
                <c:ptCount val="5"/>
                <c:pt idx="0">
                  <c:v>Cerrahi Maske</c:v>
                </c:pt>
                <c:pt idx="1">
                  <c:v>N95/FFP maske</c:v>
                </c:pt>
                <c:pt idx="2">
                  <c:v>Eldiven</c:v>
                </c:pt>
                <c:pt idx="3">
                  <c:v>Siperlik</c:v>
                </c:pt>
                <c:pt idx="4">
                  <c:v>Yüzey temizleyici
</c:v>
                </c:pt>
              </c:strCache>
            </c:strRef>
          </c:cat>
          <c:val>
            <c:numRef>
              <c:f>'[Anket tablolar0221.xlsx]Sayfa1'!$H$169:$H$173</c:f>
              <c:numCache>
                <c:formatCode>General</c:formatCode>
                <c:ptCount val="5"/>
                <c:pt idx="0">
                  <c:v>150</c:v>
                </c:pt>
                <c:pt idx="1">
                  <c:v>339</c:v>
                </c:pt>
                <c:pt idx="2">
                  <c:v>380</c:v>
                </c:pt>
                <c:pt idx="3">
                  <c:v>249</c:v>
                </c:pt>
                <c:pt idx="4">
                  <c:v>350</c:v>
                </c:pt>
              </c:numCache>
            </c:numRef>
          </c:val>
          <c:extLst>
            <c:ext xmlns:c16="http://schemas.microsoft.com/office/drawing/2014/chart" uri="{C3380CC4-5D6E-409C-BE32-E72D297353CC}">
              <c16:uniqueId val="{00000003-A5A3-455B-9581-735D1E2A39C1}"/>
            </c:ext>
          </c:extLst>
        </c:ser>
        <c:dLbls>
          <c:showLegendKey val="0"/>
          <c:showVal val="0"/>
          <c:showCatName val="0"/>
          <c:showSerName val="0"/>
          <c:showPercent val="0"/>
          <c:showBubbleSize val="0"/>
        </c:dLbls>
        <c:gapWidth val="100"/>
        <c:overlap val="-24"/>
        <c:axId val="336569928"/>
        <c:axId val="336567576"/>
      </c:barChart>
      <c:catAx>
        <c:axId val="336569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336567576"/>
        <c:crosses val="autoZero"/>
        <c:auto val="1"/>
        <c:lblAlgn val="ctr"/>
        <c:lblOffset val="100"/>
        <c:noMultiLvlLbl val="0"/>
      </c:catAx>
      <c:valAx>
        <c:axId val="3365675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336569928"/>
        <c:crosses val="autoZero"/>
        <c:crossBetween val="between"/>
      </c:valAx>
      <c:spPr>
        <a:noFill/>
        <a:ln>
          <a:noFill/>
        </a:ln>
        <a:effectLst/>
      </c:spPr>
    </c:plotArea>
    <c:legend>
      <c:legendPos val="t"/>
      <c:layout>
        <c:manualLayout>
          <c:xMode val="edge"/>
          <c:yMode val="edge"/>
          <c:x val="0.15321133469427434"/>
          <c:y val="0.11590736522399392"/>
          <c:w val="0.59069667217523736"/>
          <c:h val="6.4066507631876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C442-8EE0-416D-9615-E1DA03DC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1693</Words>
  <Characters>9651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Gülşah Yüksel Kırımlı</dc:creator>
  <cp:keywords/>
  <dc:description/>
  <cp:lastModifiedBy>Arda Cem Kirimli</cp:lastModifiedBy>
  <cp:revision>118</cp:revision>
  <dcterms:created xsi:type="dcterms:W3CDTF">2020-12-14T06:28:00Z</dcterms:created>
  <dcterms:modified xsi:type="dcterms:W3CDTF">2021-02-25T18:26:00Z</dcterms:modified>
</cp:coreProperties>
</file>