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18" w:rsidRDefault="00E46718" w:rsidP="00E46718">
      <w:pPr>
        <w:jc w:val="center"/>
        <w:rPr>
          <w:sz w:val="22"/>
          <w:szCs w:val="22"/>
        </w:rPr>
      </w:pPr>
      <w:r>
        <w:rPr>
          <w:b/>
          <w:bCs/>
          <w:sz w:val="22"/>
          <w:szCs w:val="22"/>
        </w:rPr>
        <w:t>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sz w:val="22"/>
          <w:szCs w:val="22"/>
        </w:rPr>
        <w:t>20 Temmuz 2011</w:t>
      </w:r>
    </w:p>
    <w:p w:rsidR="00E46718" w:rsidRDefault="00E46718" w:rsidP="00E46718">
      <w:pPr>
        <w:jc w:val="center"/>
        <w:rPr>
          <w:b/>
          <w:bCs/>
          <w:sz w:val="22"/>
          <w:szCs w:val="22"/>
        </w:rPr>
      </w:pPr>
    </w:p>
    <w:p w:rsidR="00E46718" w:rsidRDefault="00E46718" w:rsidP="00E46718">
      <w:pPr>
        <w:jc w:val="both"/>
        <w:rPr>
          <w:sz w:val="22"/>
          <w:szCs w:val="22"/>
        </w:rPr>
      </w:pPr>
      <w:r>
        <w:rPr>
          <w:sz w:val="22"/>
          <w:szCs w:val="22"/>
        </w:rPr>
        <w:t xml:space="preserve">            </w:t>
      </w:r>
    </w:p>
    <w:p w:rsidR="00E46718" w:rsidRDefault="00E46718" w:rsidP="00E46718">
      <w:pPr>
        <w:ind w:right="3492"/>
        <w:jc w:val="both"/>
        <w:rPr>
          <w:b/>
          <w:bCs/>
          <w:sz w:val="22"/>
          <w:szCs w:val="22"/>
        </w:rPr>
      </w:pPr>
    </w:p>
    <w:p w:rsidR="00E46718" w:rsidRDefault="00E46718" w:rsidP="00E46718">
      <w:pPr>
        <w:ind w:right="3492"/>
        <w:jc w:val="both"/>
        <w:rPr>
          <w:b/>
          <w:bCs/>
          <w:sz w:val="22"/>
          <w:szCs w:val="22"/>
        </w:rPr>
      </w:pPr>
    </w:p>
    <w:p w:rsidR="00E46718" w:rsidRDefault="00E46718" w:rsidP="00E46718">
      <w:pPr>
        <w:ind w:right="3492"/>
        <w:jc w:val="both"/>
        <w:rPr>
          <w:b/>
          <w:bCs/>
          <w:sz w:val="22"/>
          <w:szCs w:val="22"/>
        </w:rPr>
      </w:pPr>
    </w:p>
    <w:p w:rsidR="00E46718" w:rsidRDefault="00E46718" w:rsidP="00E46718">
      <w:pPr>
        <w:ind w:right="3492"/>
        <w:jc w:val="both"/>
        <w:rPr>
          <w:b/>
          <w:bCs/>
          <w:sz w:val="22"/>
          <w:szCs w:val="22"/>
        </w:rPr>
      </w:pPr>
    </w:p>
    <w:p w:rsidR="00E46718" w:rsidRDefault="00E46718" w:rsidP="00E46718">
      <w:pPr>
        <w:ind w:right="3492"/>
        <w:jc w:val="both"/>
        <w:rPr>
          <w:sz w:val="22"/>
          <w:szCs w:val="22"/>
        </w:rPr>
      </w:pPr>
      <w:r>
        <w:rPr>
          <w:b/>
          <w:bCs/>
          <w:sz w:val="22"/>
          <w:szCs w:val="22"/>
        </w:rPr>
        <w:t>Konu:</w:t>
      </w:r>
      <w:r>
        <w:rPr>
          <w:sz w:val="22"/>
          <w:szCs w:val="22"/>
        </w:rPr>
        <w:t xml:space="preserve"> Tıbbi Kötü Uygulamaya İlişkin Zorunlu Mali Sorumluluk Sigortası poliçeleri </w:t>
      </w:r>
      <w:proofErr w:type="spellStart"/>
      <w:r>
        <w:rPr>
          <w:sz w:val="22"/>
          <w:szCs w:val="22"/>
        </w:rPr>
        <w:t>hk</w:t>
      </w:r>
      <w:proofErr w:type="spellEnd"/>
      <w:r>
        <w:rPr>
          <w:sz w:val="22"/>
          <w:szCs w:val="22"/>
        </w:rPr>
        <w:t>.</w:t>
      </w:r>
    </w:p>
    <w:p w:rsidR="00E46718" w:rsidRDefault="00E46718" w:rsidP="00E46718">
      <w:pPr>
        <w:ind w:right="3492"/>
        <w:jc w:val="both"/>
        <w:rPr>
          <w:sz w:val="22"/>
          <w:szCs w:val="22"/>
        </w:rPr>
      </w:pPr>
    </w:p>
    <w:p w:rsidR="00E46718" w:rsidRDefault="00E46718" w:rsidP="00E46718">
      <w:pPr>
        <w:jc w:val="both"/>
        <w:rPr>
          <w:sz w:val="22"/>
          <w:szCs w:val="22"/>
        </w:rPr>
      </w:pPr>
      <w:r>
        <w:rPr>
          <w:sz w:val="22"/>
          <w:szCs w:val="22"/>
        </w:rPr>
        <w:t xml:space="preserve">Bilindiği gibi, 1219 sayılı Kanunun Ek 12 </w:t>
      </w:r>
      <w:proofErr w:type="spellStart"/>
      <w:r>
        <w:rPr>
          <w:sz w:val="22"/>
          <w:szCs w:val="22"/>
        </w:rPr>
        <w:t>nci</w:t>
      </w:r>
      <w:proofErr w:type="spellEnd"/>
      <w:r>
        <w:rPr>
          <w:sz w:val="22"/>
          <w:szCs w:val="22"/>
        </w:rPr>
        <w:t xml:space="preserve"> maddesinde öngörülen “Tıbbi Kötü Uygulamaya İlişkin Zorunlu Mali Sorumluluk Sigortası Genel Şartları ile Tarife ve Talimatı” 21 Temmuz 2010 günü Resmi Gazetede yayımlanarak yürürlüğe girmiş, 19 Temmuz 2011 tarihinde ise bazı değişiklikler yapılmıştır. Değişikliklerin 30 Temmuz 2011 tarihinde yürürlüğe girmesi düzenlenmiştir. </w:t>
      </w:r>
    </w:p>
    <w:p w:rsidR="00E46718" w:rsidRDefault="00E46718" w:rsidP="00E46718">
      <w:pPr>
        <w:jc w:val="both"/>
        <w:rPr>
          <w:sz w:val="22"/>
          <w:szCs w:val="22"/>
        </w:rPr>
      </w:pPr>
    </w:p>
    <w:p w:rsidR="00E46718" w:rsidRDefault="00E46718" w:rsidP="00E46718">
      <w:pPr>
        <w:jc w:val="both"/>
        <w:rPr>
          <w:sz w:val="22"/>
          <w:szCs w:val="22"/>
        </w:rPr>
      </w:pPr>
      <w:r>
        <w:rPr>
          <w:sz w:val="22"/>
          <w:szCs w:val="22"/>
        </w:rPr>
        <w:t xml:space="preserve">Türk Tabipleri Birliği, 6023 sayılı Yasa ile kendisine verilen görev ve yetkileri ışığında zorunlu sigorta poliçelerinin hekimler yönünden yalnızca asgari koşulları içermesini değil, iyileştirilmiş koşulları taşımasını önemsemektedir.  </w:t>
      </w:r>
    </w:p>
    <w:p w:rsidR="00E46718" w:rsidRDefault="00E46718" w:rsidP="00E46718">
      <w:pPr>
        <w:jc w:val="both"/>
        <w:rPr>
          <w:sz w:val="22"/>
          <w:szCs w:val="22"/>
        </w:rPr>
      </w:pPr>
    </w:p>
    <w:p w:rsidR="00E46718" w:rsidRDefault="00E46718" w:rsidP="00E46718">
      <w:pPr>
        <w:jc w:val="both"/>
        <w:rPr>
          <w:sz w:val="22"/>
          <w:szCs w:val="22"/>
        </w:rPr>
      </w:pPr>
      <w:r>
        <w:rPr>
          <w:sz w:val="22"/>
          <w:szCs w:val="22"/>
        </w:rPr>
        <w:t>Bütün Tabip Odalarımıza ve hekimlere 19.07.2011 tarihinde gerek TTB internet sitesinden gerekse Tabip odaları ve Tıpta Uzmanlık Dernekleri aracılığı ile gerekli bilgiler iletilmiş, TTB’nin bu konuda vereceği bilgileri beklemelerinde yarar olduğu bildirilmiştir.  Sigorta şirketlerinden alacağımız geri bildirimler, gerek örgütsel kanallarla gerekse birebir her bir üyemize mail ve SMS aracılığı ile iletilecektir. Ayrıca poliçeler analiz edilerek gerekli olduğu düşünülen bilgiler üyelerimize aktarılacaktır.</w:t>
      </w:r>
    </w:p>
    <w:p w:rsidR="00E46718" w:rsidRDefault="00E46718" w:rsidP="00E46718">
      <w:pPr>
        <w:jc w:val="both"/>
        <w:rPr>
          <w:sz w:val="22"/>
          <w:szCs w:val="22"/>
        </w:rPr>
      </w:pPr>
    </w:p>
    <w:p w:rsidR="00E46718" w:rsidRDefault="00E46718" w:rsidP="00E46718">
      <w:pPr>
        <w:jc w:val="both"/>
        <w:rPr>
          <w:sz w:val="22"/>
          <w:szCs w:val="22"/>
        </w:rPr>
      </w:pPr>
      <w:r>
        <w:rPr>
          <w:sz w:val="22"/>
          <w:szCs w:val="22"/>
        </w:rPr>
        <w:t xml:space="preserve">Tıbbi Kötü Uygulamaya İlişkin Zorunlu Mali Sorumluluk Sigortası Genel Şartları ile Tarife ve Talimatında belirtilen asgari koşulların yanı sıra yapılabilecek tüm iyileştirmelerin yazılı olarak ivedilikle tarafımızdan öğrenilmesi önem taşımaktadır. </w:t>
      </w:r>
    </w:p>
    <w:p w:rsidR="00E46718" w:rsidRDefault="00E46718" w:rsidP="00E46718">
      <w:pPr>
        <w:jc w:val="both"/>
        <w:rPr>
          <w:sz w:val="22"/>
          <w:szCs w:val="22"/>
        </w:rPr>
      </w:pPr>
    </w:p>
    <w:p w:rsidR="00E46718" w:rsidRDefault="00E46718" w:rsidP="00E46718">
      <w:pPr>
        <w:jc w:val="both"/>
        <w:rPr>
          <w:sz w:val="22"/>
          <w:szCs w:val="22"/>
        </w:rPr>
      </w:pPr>
      <w:r>
        <w:rPr>
          <w:sz w:val="22"/>
          <w:szCs w:val="22"/>
        </w:rPr>
        <w:t xml:space="preserve">Şirketiniz tarafından iletilecek önerileriniz, diğer Şirketlerin önerileri ile birlikte değerlendirilecek olup, en iyi koşulları sağlayan poliçeler konusunda hekimlerimize yönelik aktif bir bilgilendirme ve rehberlik yapılacaktır. </w:t>
      </w:r>
    </w:p>
    <w:p w:rsidR="00E46718" w:rsidRDefault="00E46718" w:rsidP="00E46718">
      <w:pPr>
        <w:jc w:val="both"/>
        <w:rPr>
          <w:sz w:val="22"/>
          <w:szCs w:val="22"/>
        </w:rPr>
      </w:pPr>
    </w:p>
    <w:p w:rsidR="00E46718" w:rsidRDefault="00E46718" w:rsidP="00E46718">
      <w:pPr>
        <w:jc w:val="both"/>
        <w:rPr>
          <w:sz w:val="22"/>
          <w:szCs w:val="22"/>
        </w:rPr>
      </w:pPr>
      <w:r>
        <w:rPr>
          <w:sz w:val="22"/>
          <w:szCs w:val="22"/>
        </w:rPr>
        <w:t>Geçtiğimiz yıl 30 Temmuz itibariyle yapılan poliçelerin süresinin bitimi ile genel şart, tarife ve tebliğde yapılan değişikliklerin işleneceği poliçelerin satışı için öngörülen süreye oldukça kısa bir süre kaldığı gözetilerek, önerilerinizi mümkün olan en kısa sürede Birliğimize yazılı olarak iletmenizi bekler, çalışmalarınızda başarılar dileriz.</w:t>
      </w:r>
    </w:p>
    <w:p w:rsidR="00E46718" w:rsidRDefault="00E46718" w:rsidP="00E46718">
      <w:pPr>
        <w:jc w:val="both"/>
        <w:rPr>
          <w:sz w:val="22"/>
          <w:szCs w:val="22"/>
        </w:rPr>
      </w:pPr>
      <w:r>
        <w:rPr>
          <w:sz w:val="22"/>
          <w:szCs w:val="22"/>
        </w:rPr>
        <w:t xml:space="preserve">                                                                                                                                       </w:t>
      </w:r>
    </w:p>
    <w:p w:rsidR="00E46718" w:rsidRDefault="00E46718" w:rsidP="00E46718">
      <w:pPr>
        <w:jc w:val="both"/>
        <w:rPr>
          <w:color w:val="323232"/>
          <w:sz w:val="22"/>
          <w:szCs w:val="22"/>
        </w:rPr>
      </w:pPr>
      <w:r>
        <w:rPr>
          <w:sz w:val="22"/>
          <w:szCs w:val="22"/>
        </w:rPr>
        <w:t xml:space="preserve">                                                                                                  </w:t>
      </w:r>
      <w:r>
        <w:rPr>
          <w:color w:val="323232"/>
          <w:sz w:val="22"/>
          <w:szCs w:val="22"/>
        </w:rPr>
        <w:t xml:space="preserve">Saygılarımızla,            </w:t>
      </w:r>
    </w:p>
    <w:p w:rsidR="00E46718" w:rsidRDefault="00E46718" w:rsidP="00E46718">
      <w:pPr>
        <w:ind w:left="4956" w:firstLine="708"/>
        <w:rPr>
          <w:sz w:val="22"/>
          <w:szCs w:val="22"/>
        </w:rPr>
      </w:pPr>
      <w:r>
        <w:rPr>
          <w:sz w:val="22"/>
          <w:szCs w:val="22"/>
        </w:rPr>
        <w:t>Dr. Eriş Bilaloğlu</w:t>
      </w:r>
    </w:p>
    <w:p w:rsidR="00E46718" w:rsidRDefault="00E46718" w:rsidP="00E46718">
      <w:pPr>
        <w:rPr>
          <w:sz w:val="22"/>
          <w:szCs w:val="22"/>
        </w:rPr>
      </w:pPr>
      <w:r>
        <w:rPr>
          <w:sz w:val="22"/>
          <w:szCs w:val="22"/>
        </w:rPr>
        <w:t>                                                                                                       TTB Merkez Konseyi</w:t>
      </w:r>
    </w:p>
    <w:p w:rsidR="00E46718" w:rsidRDefault="00E46718" w:rsidP="00E46718">
      <w:pPr>
        <w:rPr>
          <w:sz w:val="22"/>
          <w:szCs w:val="22"/>
        </w:rPr>
      </w:pPr>
      <w:r>
        <w:rPr>
          <w:sz w:val="22"/>
          <w:szCs w:val="22"/>
        </w:rPr>
        <w:t>                                                                                                       Başkanı</w:t>
      </w:r>
    </w:p>
    <w:p w:rsidR="00E46718" w:rsidRDefault="00E46718" w:rsidP="00E46718">
      <w:pPr>
        <w:jc w:val="both"/>
        <w:rPr>
          <w:sz w:val="22"/>
          <w:szCs w:val="22"/>
        </w:rPr>
      </w:pPr>
    </w:p>
    <w:p w:rsidR="00184DA5" w:rsidRDefault="00184DA5"/>
    <w:sectPr w:rsidR="00184DA5" w:rsidSect="00184D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46718"/>
    <w:rsid w:val="00184DA5"/>
    <w:rsid w:val="00E467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18"/>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1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2259</Characters>
  <Application>Microsoft Office Word</Application>
  <DocSecurity>0</DocSecurity>
  <Lines>18</Lines>
  <Paragraphs>5</Paragraphs>
  <ScaleCrop>false</ScaleCrop>
  <Company>TURBO A.Ş.</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dc:creator>
  <cp:lastModifiedBy>YOK</cp:lastModifiedBy>
  <cp:revision>1</cp:revision>
  <dcterms:created xsi:type="dcterms:W3CDTF">2011-07-28T12:41:00Z</dcterms:created>
  <dcterms:modified xsi:type="dcterms:W3CDTF">2011-07-28T12:43:00Z</dcterms:modified>
</cp:coreProperties>
</file>