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2C" w:rsidRPr="001D6B2C" w:rsidRDefault="001D6B2C" w:rsidP="001D6B2C">
      <w:pPr>
        <w:jc w:val="center"/>
        <w:rPr>
          <w:b/>
          <w:sz w:val="24"/>
          <w:szCs w:val="24"/>
        </w:rPr>
      </w:pPr>
      <w:r w:rsidRPr="001D6B2C">
        <w:rPr>
          <w:b/>
          <w:sz w:val="24"/>
          <w:szCs w:val="24"/>
        </w:rPr>
        <w:t>TTB-UDEK-UYEK “Uzmanlık Derneklerinin Yeterlik Sınavları” Çalıştay Raporu</w:t>
      </w:r>
    </w:p>
    <w:p w:rsidR="001D6B2C" w:rsidRDefault="001D6B2C" w:rsidP="001D6B2C">
      <w:pPr>
        <w:jc w:val="center"/>
        <w:rPr>
          <w:b/>
          <w:sz w:val="24"/>
          <w:szCs w:val="24"/>
        </w:rPr>
      </w:pPr>
      <w:r w:rsidRPr="001D6B2C">
        <w:rPr>
          <w:b/>
          <w:sz w:val="24"/>
          <w:szCs w:val="24"/>
        </w:rPr>
        <w:t>28 Mart 2015</w:t>
      </w:r>
      <w:r>
        <w:rPr>
          <w:b/>
          <w:sz w:val="24"/>
          <w:szCs w:val="24"/>
        </w:rPr>
        <w:t xml:space="preserve"> (</w:t>
      </w:r>
      <w:proofErr w:type="gramStart"/>
      <w:r w:rsidR="002D50C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9:30</w:t>
      </w:r>
      <w:proofErr w:type="gramEnd"/>
      <w:r>
        <w:rPr>
          <w:b/>
          <w:sz w:val="24"/>
          <w:szCs w:val="24"/>
        </w:rPr>
        <w:t>-14:30)</w:t>
      </w:r>
    </w:p>
    <w:p w:rsidR="001D6B2C" w:rsidRDefault="001D6B2C" w:rsidP="001D6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TTB Merkez Konsey Yerleşkesi</w:t>
      </w:r>
    </w:p>
    <w:p w:rsidR="001D6B2C" w:rsidRDefault="001D6B2C" w:rsidP="004369C2">
      <w:pPr>
        <w:jc w:val="both"/>
        <w:rPr>
          <w:sz w:val="24"/>
          <w:szCs w:val="24"/>
        </w:rPr>
      </w:pPr>
    </w:p>
    <w:p w:rsidR="003B5E8D" w:rsidRDefault="001D6B2C" w:rsidP="004369C2">
      <w:pPr>
        <w:jc w:val="both"/>
        <w:rPr>
          <w:sz w:val="24"/>
          <w:szCs w:val="24"/>
        </w:rPr>
      </w:pPr>
      <w:r>
        <w:rPr>
          <w:sz w:val="24"/>
          <w:szCs w:val="24"/>
        </w:rPr>
        <w:t>TTB-</w:t>
      </w:r>
      <w:r w:rsidR="006A42EF" w:rsidRPr="003B5E8D">
        <w:rPr>
          <w:sz w:val="24"/>
          <w:szCs w:val="24"/>
        </w:rPr>
        <w:t>UDEK</w:t>
      </w:r>
      <w:r>
        <w:rPr>
          <w:sz w:val="24"/>
          <w:szCs w:val="24"/>
        </w:rPr>
        <w:t>-</w:t>
      </w:r>
      <w:r w:rsidR="006A42EF" w:rsidRPr="003B5E8D">
        <w:rPr>
          <w:sz w:val="24"/>
          <w:szCs w:val="24"/>
        </w:rPr>
        <w:t xml:space="preserve">UYEK </w:t>
      </w:r>
      <w:r w:rsidR="003B5E8D">
        <w:rPr>
          <w:sz w:val="24"/>
          <w:szCs w:val="24"/>
        </w:rPr>
        <w:t xml:space="preserve">tarafından </w:t>
      </w:r>
      <w:r w:rsidR="006A42EF" w:rsidRPr="003B5E8D">
        <w:rPr>
          <w:sz w:val="24"/>
          <w:szCs w:val="24"/>
        </w:rPr>
        <w:t>28 Mart 2015 tarihi</w:t>
      </w:r>
      <w:r w:rsidR="00990597">
        <w:rPr>
          <w:sz w:val="24"/>
          <w:szCs w:val="24"/>
        </w:rPr>
        <w:t>n</w:t>
      </w:r>
      <w:r w:rsidR="006A42EF" w:rsidRPr="003B5E8D">
        <w:rPr>
          <w:sz w:val="24"/>
          <w:szCs w:val="24"/>
        </w:rPr>
        <w:t>de yapılan “Uzmanlık Derneklerini</w:t>
      </w:r>
      <w:r w:rsidR="00A2605A" w:rsidRPr="003B5E8D">
        <w:rPr>
          <w:sz w:val="24"/>
          <w:szCs w:val="24"/>
        </w:rPr>
        <w:t>n Yeterlik Sınavları</w:t>
      </w:r>
      <w:r w:rsidR="006A42EF" w:rsidRPr="003B5E8D">
        <w:rPr>
          <w:sz w:val="24"/>
          <w:szCs w:val="24"/>
        </w:rPr>
        <w:t xml:space="preserve">” </w:t>
      </w:r>
      <w:proofErr w:type="spellStart"/>
      <w:r w:rsidR="00990597">
        <w:rPr>
          <w:sz w:val="24"/>
          <w:szCs w:val="24"/>
        </w:rPr>
        <w:t>Ç</w:t>
      </w:r>
      <w:r w:rsidR="006A42EF" w:rsidRPr="003B5E8D">
        <w:rPr>
          <w:sz w:val="24"/>
          <w:szCs w:val="24"/>
        </w:rPr>
        <w:t>alıştayı</w:t>
      </w:r>
      <w:r w:rsidR="00990597">
        <w:rPr>
          <w:sz w:val="24"/>
          <w:szCs w:val="24"/>
        </w:rPr>
        <w:t>’</w:t>
      </w:r>
      <w:r w:rsidR="006A42EF" w:rsidRPr="003B5E8D">
        <w:rPr>
          <w:sz w:val="24"/>
          <w:szCs w:val="24"/>
        </w:rPr>
        <w:t>na</w:t>
      </w:r>
      <w:proofErr w:type="spellEnd"/>
      <w:r w:rsidR="006A42EF" w:rsidRPr="003B5E8D">
        <w:rPr>
          <w:sz w:val="24"/>
          <w:szCs w:val="24"/>
        </w:rPr>
        <w:t xml:space="preserve"> </w:t>
      </w:r>
      <w:r w:rsidR="003B5E8D">
        <w:rPr>
          <w:sz w:val="24"/>
          <w:szCs w:val="24"/>
        </w:rPr>
        <w:t>2</w:t>
      </w:r>
      <w:r w:rsidR="004369C2">
        <w:rPr>
          <w:sz w:val="24"/>
          <w:szCs w:val="24"/>
        </w:rPr>
        <w:t>9</w:t>
      </w:r>
      <w:r w:rsidR="003B5E8D">
        <w:rPr>
          <w:sz w:val="24"/>
          <w:szCs w:val="24"/>
        </w:rPr>
        <w:t xml:space="preserve"> uzmanlık alanından 51 yeterlik kurulu ve/veya uzmanlık derneği temsilcisi </w:t>
      </w:r>
      <w:r w:rsidR="006A42EF" w:rsidRPr="003B5E8D">
        <w:rPr>
          <w:sz w:val="24"/>
          <w:szCs w:val="24"/>
        </w:rPr>
        <w:t xml:space="preserve">katılmıştır. </w:t>
      </w:r>
    </w:p>
    <w:p w:rsidR="003B5E8D" w:rsidRDefault="003B5E8D" w:rsidP="004369C2">
      <w:pPr>
        <w:jc w:val="both"/>
        <w:rPr>
          <w:sz w:val="24"/>
          <w:szCs w:val="24"/>
        </w:rPr>
      </w:pPr>
      <w:r>
        <w:rPr>
          <w:sz w:val="24"/>
          <w:szCs w:val="24"/>
        </w:rPr>
        <w:t>Uzmanlık alanlarını temsil eden katılımcı dernekler aşağıdadır: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Çocuk </w:t>
      </w:r>
      <w:proofErr w:type="spellStart"/>
      <w:r>
        <w:rPr>
          <w:sz w:val="24"/>
          <w:szCs w:val="24"/>
        </w:rPr>
        <w:t>Nefroloji</w:t>
      </w:r>
      <w:proofErr w:type="spellEnd"/>
      <w:r>
        <w:rPr>
          <w:sz w:val="24"/>
          <w:szCs w:val="24"/>
        </w:rPr>
        <w:t xml:space="preserve"> Derneği</w:t>
      </w:r>
    </w:p>
    <w:p w:rsidR="003B5E8D" w:rsidRDefault="001D6B2C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Türkiye </w:t>
      </w:r>
      <w:r w:rsidR="003B5E8D">
        <w:rPr>
          <w:sz w:val="24"/>
          <w:szCs w:val="24"/>
        </w:rPr>
        <w:t>Endokrinoloji ve Metabolizma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Fiziksel Tıp ve Rehabilitasyon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Halk Sağlığı Uzmanları Derneği 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Klinik Mikrobiyoloji Uzmanlık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Anesteziyoloji ve Reanimasyon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Biyokimya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Cerrahi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Dermatoloji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Göğüs Hastalıkları Yeterlik Kurulu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Histoloji ve Embriyoloji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İç Hastalıkları Uzmanlık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Kalp Damar Cerrahisi Derneği</w:t>
      </w:r>
    </w:p>
    <w:p w:rsidR="003F64ED" w:rsidRDefault="003F64E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Klinik Biyokimya Derneği</w:t>
      </w:r>
      <w:bookmarkStart w:id="0" w:name="_GoBack"/>
      <w:bookmarkEnd w:id="0"/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KBB BBC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Nöroloji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Nöroşirurji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Oftalmoloji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Ortopedi ve Travmatoloji Birliği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Pediatrik Kardiyoloji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Pediatrik Onkoloji Grubu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Plastik, Rekonstrüktif ve Estetik Cerrahi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Radyasyon Onkolojisi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Radyoloji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Tıbbi Onkoloji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Toraks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 Üroloji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Türkiye Çocuk Cerrahisi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Türkiye Çocuk Nörolojisi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Türkiye Çocuk ve Genç Psikiyatrisi Derneği</w:t>
      </w:r>
    </w:p>
    <w:p w:rsidR="003B5E8D" w:rsidRDefault="003B5E8D" w:rsidP="004369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Türkiye Psikiyatri Derneği</w:t>
      </w:r>
    </w:p>
    <w:p w:rsidR="004369C2" w:rsidRPr="001D6B2C" w:rsidRDefault="004369C2" w:rsidP="004369C2">
      <w:pPr>
        <w:jc w:val="both"/>
        <w:rPr>
          <w:b/>
          <w:sz w:val="24"/>
          <w:szCs w:val="24"/>
        </w:rPr>
      </w:pPr>
      <w:r w:rsidRPr="001D6B2C">
        <w:rPr>
          <w:b/>
          <w:sz w:val="24"/>
          <w:szCs w:val="24"/>
        </w:rPr>
        <w:t xml:space="preserve">Öne </w:t>
      </w:r>
      <w:r w:rsidR="001D6B2C">
        <w:rPr>
          <w:b/>
          <w:sz w:val="24"/>
          <w:szCs w:val="24"/>
        </w:rPr>
        <w:t>çıkan konular</w:t>
      </w:r>
    </w:p>
    <w:p w:rsidR="004369C2" w:rsidRPr="004369C2" w:rsidRDefault="004369C2" w:rsidP="004369C2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4369C2">
        <w:rPr>
          <w:sz w:val="24"/>
          <w:szCs w:val="24"/>
        </w:rPr>
        <w:t>Ye</w:t>
      </w:r>
      <w:r w:rsidR="006A42EF" w:rsidRPr="004369C2">
        <w:rPr>
          <w:sz w:val="24"/>
          <w:szCs w:val="24"/>
        </w:rPr>
        <w:t>terlik sınavlarını</w:t>
      </w:r>
      <w:r w:rsidR="00CC4FE3" w:rsidRPr="004369C2">
        <w:rPr>
          <w:sz w:val="24"/>
          <w:szCs w:val="24"/>
        </w:rPr>
        <w:t>n</w:t>
      </w:r>
      <w:r w:rsidR="000714BA" w:rsidRPr="004369C2">
        <w:rPr>
          <w:sz w:val="24"/>
          <w:szCs w:val="24"/>
        </w:rPr>
        <w:t xml:space="preserve"> </w:t>
      </w:r>
      <w:r w:rsidRPr="004369C2">
        <w:rPr>
          <w:sz w:val="24"/>
          <w:szCs w:val="24"/>
        </w:rPr>
        <w:t>birinci</w:t>
      </w:r>
      <w:r w:rsidR="000714BA" w:rsidRPr="004369C2">
        <w:rPr>
          <w:sz w:val="24"/>
          <w:szCs w:val="24"/>
        </w:rPr>
        <w:t xml:space="preserve"> aşaması için</w:t>
      </w:r>
      <w:r w:rsidR="00CC4FE3" w:rsidRPr="004369C2">
        <w:rPr>
          <w:sz w:val="24"/>
          <w:szCs w:val="24"/>
        </w:rPr>
        <w:t xml:space="preserve"> soru hazırlığı, soru bankası oluşturulması, duyuruların nasıl yapıldığı, sınav takv</w:t>
      </w:r>
      <w:r w:rsidR="008756F7" w:rsidRPr="004369C2">
        <w:rPr>
          <w:sz w:val="24"/>
          <w:szCs w:val="24"/>
        </w:rPr>
        <w:t>imlerinin nasıl belirlendiği</w:t>
      </w:r>
      <w:r w:rsidR="000714BA" w:rsidRPr="004369C2">
        <w:rPr>
          <w:sz w:val="24"/>
          <w:szCs w:val="24"/>
        </w:rPr>
        <w:t>,</w:t>
      </w:r>
      <w:r w:rsidR="00CC4FE3" w:rsidRPr="004369C2">
        <w:rPr>
          <w:sz w:val="24"/>
          <w:szCs w:val="24"/>
        </w:rPr>
        <w:t xml:space="preserve"> sınavda geçme notlarının nasıl hesaplandığı ve sınav maliyetleri konular</w:t>
      </w:r>
      <w:r w:rsidR="008756F7" w:rsidRPr="004369C2">
        <w:rPr>
          <w:sz w:val="24"/>
          <w:szCs w:val="24"/>
        </w:rPr>
        <w:t>ın</w:t>
      </w:r>
      <w:r w:rsidR="00CC4FE3" w:rsidRPr="004369C2">
        <w:rPr>
          <w:sz w:val="24"/>
          <w:szCs w:val="24"/>
        </w:rPr>
        <w:t>da</w:t>
      </w:r>
      <w:r w:rsidR="006A42EF" w:rsidRPr="004369C2">
        <w:rPr>
          <w:sz w:val="24"/>
          <w:szCs w:val="24"/>
        </w:rPr>
        <w:t xml:space="preserve"> </w:t>
      </w:r>
      <w:r w:rsidR="00CC4FE3" w:rsidRPr="004369C2">
        <w:rPr>
          <w:sz w:val="24"/>
          <w:szCs w:val="24"/>
        </w:rPr>
        <w:t xml:space="preserve">ayrıntılı olarak </w:t>
      </w:r>
      <w:r w:rsidR="00990597">
        <w:rPr>
          <w:sz w:val="24"/>
          <w:szCs w:val="24"/>
        </w:rPr>
        <w:t xml:space="preserve">deneyimleri </w:t>
      </w:r>
      <w:r w:rsidRPr="004369C2">
        <w:rPr>
          <w:sz w:val="24"/>
          <w:szCs w:val="24"/>
        </w:rPr>
        <w:t xml:space="preserve">paylaşılmıştır. </w:t>
      </w:r>
      <w:r w:rsidR="000714BA" w:rsidRPr="004369C2">
        <w:rPr>
          <w:sz w:val="24"/>
          <w:szCs w:val="24"/>
        </w:rPr>
        <w:t xml:space="preserve">İkinci basamak sınavı için özellikle becerinin ölçüldüğü istasyonlarda derneklerin farklı uygulamalar ile değerlendirmeler yaptığı, sınav öncesi hazırlanan kontrol listeleri ve puantaj tablolarının önemi </w:t>
      </w:r>
      <w:r w:rsidRPr="004369C2">
        <w:rPr>
          <w:sz w:val="24"/>
          <w:szCs w:val="24"/>
        </w:rPr>
        <w:t>vurgulanmıştır.</w:t>
      </w:r>
    </w:p>
    <w:p w:rsidR="004369C2" w:rsidRDefault="00CC4FE3" w:rsidP="004369C2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4369C2">
        <w:rPr>
          <w:sz w:val="24"/>
          <w:szCs w:val="24"/>
        </w:rPr>
        <w:t>Sunumlar</w:t>
      </w:r>
      <w:r w:rsidR="004369C2">
        <w:rPr>
          <w:sz w:val="24"/>
          <w:szCs w:val="24"/>
        </w:rPr>
        <w:t xml:space="preserve"> sırasında </w:t>
      </w:r>
      <w:r w:rsidRPr="004369C2">
        <w:rPr>
          <w:sz w:val="24"/>
          <w:szCs w:val="24"/>
        </w:rPr>
        <w:t>yeterlik sınavları</w:t>
      </w:r>
      <w:r w:rsidR="004369C2">
        <w:rPr>
          <w:sz w:val="24"/>
          <w:szCs w:val="24"/>
        </w:rPr>
        <w:t xml:space="preserve">yla ilişkili olarak </w:t>
      </w:r>
      <w:r w:rsidR="009F6D66" w:rsidRPr="004369C2">
        <w:rPr>
          <w:sz w:val="24"/>
          <w:szCs w:val="24"/>
        </w:rPr>
        <w:t>yapılan</w:t>
      </w:r>
      <w:r w:rsidRPr="004369C2">
        <w:rPr>
          <w:sz w:val="24"/>
          <w:szCs w:val="24"/>
        </w:rPr>
        <w:t xml:space="preserve"> eğitim </w:t>
      </w:r>
      <w:r w:rsidR="00990597">
        <w:rPr>
          <w:sz w:val="24"/>
          <w:szCs w:val="24"/>
        </w:rPr>
        <w:t>etkinliklerinden</w:t>
      </w:r>
      <w:r w:rsidRPr="004369C2">
        <w:rPr>
          <w:sz w:val="24"/>
          <w:szCs w:val="24"/>
        </w:rPr>
        <w:t>, sınava hazırlık kursları</w:t>
      </w:r>
      <w:r w:rsidR="005E4026" w:rsidRPr="004369C2">
        <w:rPr>
          <w:sz w:val="24"/>
          <w:szCs w:val="24"/>
        </w:rPr>
        <w:t>ndan</w:t>
      </w:r>
      <w:r w:rsidRPr="004369C2">
        <w:rPr>
          <w:sz w:val="24"/>
          <w:szCs w:val="24"/>
        </w:rPr>
        <w:t xml:space="preserve"> ve hatta bu yeterlik belgesinin verilmesi sonrasında başlayan yeniden belgelendirme</w:t>
      </w:r>
      <w:r w:rsidR="005E4026" w:rsidRPr="004369C2">
        <w:rPr>
          <w:sz w:val="24"/>
          <w:szCs w:val="24"/>
        </w:rPr>
        <w:t xml:space="preserve"> süreci konusundaki stratejilerden </w:t>
      </w:r>
      <w:r w:rsidR="00990597">
        <w:rPr>
          <w:sz w:val="24"/>
          <w:szCs w:val="24"/>
        </w:rPr>
        <w:t>söz edilmiştir</w:t>
      </w:r>
      <w:r w:rsidR="004369C2">
        <w:rPr>
          <w:sz w:val="24"/>
          <w:szCs w:val="24"/>
        </w:rPr>
        <w:t>.</w:t>
      </w:r>
    </w:p>
    <w:p w:rsidR="004369C2" w:rsidRDefault="004369C2" w:rsidP="004369C2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F6D66" w:rsidRPr="004369C2">
        <w:rPr>
          <w:sz w:val="24"/>
          <w:szCs w:val="24"/>
        </w:rPr>
        <w:t xml:space="preserve">zmanlık derneklerinin yeterlik kurullarının, asistan eğitimindeki tüm ayrıntılara ve mezuniyet sonrası eğitimde çok önemli olan STE-SMG kavramına </w:t>
      </w:r>
      <w:proofErr w:type="gramStart"/>
      <w:r w:rsidR="009F6D66" w:rsidRPr="004369C2">
        <w:rPr>
          <w:sz w:val="24"/>
          <w:szCs w:val="24"/>
        </w:rPr>
        <w:t>hakim</w:t>
      </w:r>
      <w:proofErr w:type="gramEnd"/>
      <w:r w:rsidR="009F6D66" w:rsidRPr="004369C2">
        <w:rPr>
          <w:sz w:val="24"/>
          <w:szCs w:val="24"/>
        </w:rPr>
        <w:t xml:space="preserve"> oldukları görül</w:t>
      </w:r>
      <w:r>
        <w:rPr>
          <w:sz w:val="24"/>
          <w:szCs w:val="24"/>
        </w:rPr>
        <w:t>müştür.</w:t>
      </w:r>
    </w:p>
    <w:p w:rsidR="004369C2" w:rsidRDefault="004369C2" w:rsidP="004369C2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Yeterlik Kurulları temsilcilerinin sunumları kapsamında aşağıdaki konular öne çıkmıştır:</w:t>
      </w:r>
    </w:p>
    <w:p w:rsidR="004369C2" w:rsidRDefault="005E4026" w:rsidP="004369C2">
      <w:pPr>
        <w:pStyle w:val="ListeParagraf"/>
        <w:numPr>
          <w:ilvl w:val="1"/>
          <w:numId w:val="3"/>
        </w:numPr>
        <w:jc w:val="both"/>
        <w:rPr>
          <w:sz w:val="24"/>
          <w:szCs w:val="24"/>
        </w:rPr>
      </w:pPr>
      <w:r w:rsidRPr="004369C2">
        <w:rPr>
          <w:sz w:val="24"/>
          <w:szCs w:val="24"/>
        </w:rPr>
        <w:t>Göğüs Hastalıkları, Genel Cerrahi</w:t>
      </w:r>
      <w:r w:rsidR="00990597">
        <w:rPr>
          <w:sz w:val="24"/>
          <w:szCs w:val="24"/>
        </w:rPr>
        <w:t xml:space="preserve">, </w:t>
      </w:r>
      <w:r w:rsidRPr="004369C2">
        <w:rPr>
          <w:sz w:val="24"/>
          <w:szCs w:val="24"/>
        </w:rPr>
        <w:t xml:space="preserve">Ortopedi ve Travmatoloji </w:t>
      </w:r>
      <w:r w:rsidR="00990597">
        <w:rPr>
          <w:sz w:val="24"/>
          <w:szCs w:val="24"/>
        </w:rPr>
        <w:t>D</w:t>
      </w:r>
      <w:r w:rsidRPr="004369C2">
        <w:rPr>
          <w:sz w:val="24"/>
          <w:szCs w:val="24"/>
        </w:rPr>
        <w:t xml:space="preserve">erneklerinin yaptıkları asistan sınavları hakkındaki </w:t>
      </w:r>
      <w:r w:rsidR="00990597">
        <w:rPr>
          <w:sz w:val="24"/>
          <w:szCs w:val="24"/>
        </w:rPr>
        <w:t>deneyiml</w:t>
      </w:r>
      <w:r w:rsidRPr="004369C2">
        <w:rPr>
          <w:sz w:val="24"/>
          <w:szCs w:val="24"/>
        </w:rPr>
        <w:t xml:space="preserve">eri </w:t>
      </w:r>
      <w:r w:rsidR="004369C2" w:rsidRPr="004369C2">
        <w:rPr>
          <w:sz w:val="24"/>
          <w:szCs w:val="24"/>
        </w:rPr>
        <w:t xml:space="preserve">aktarmışlardır. </w:t>
      </w:r>
    </w:p>
    <w:p w:rsidR="004369C2" w:rsidRDefault="008756F7" w:rsidP="004369C2">
      <w:pPr>
        <w:pStyle w:val="ListeParagraf"/>
        <w:numPr>
          <w:ilvl w:val="1"/>
          <w:numId w:val="3"/>
        </w:numPr>
        <w:jc w:val="both"/>
        <w:rPr>
          <w:sz w:val="24"/>
          <w:szCs w:val="24"/>
        </w:rPr>
      </w:pPr>
      <w:r w:rsidRPr="004369C2">
        <w:rPr>
          <w:sz w:val="24"/>
          <w:szCs w:val="24"/>
        </w:rPr>
        <w:t xml:space="preserve">Anestezi ve Reanimasyon </w:t>
      </w:r>
      <w:r w:rsidR="00990597">
        <w:rPr>
          <w:sz w:val="24"/>
          <w:szCs w:val="24"/>
        </w:rPr>
        <w:t>D</w:t>
      </w:r>
      <w:r w:rsidRPr="004369C2">
        <w:rPr>
          <w:sz w:val="24"/>
          <w:szCs w:val="24"/>
        </w:rPr>
        <w:t>erneği</w:t>
      </w:r>
      <w:r w:rsidR="00990597">
        <w:rPr>
          <w:sz w:val="24"/>
          <w:szCs w:val="24"/>
        </w:rPr>
        <w:t>’</w:t>
      </w:r>
      <w:r w:rsidRPr="004369C2">
        <w:rPr>
          <w:sz w:val="24"/>
          <w:szCs w:val="24"/>
        </w:rPr>
        <w:t xml:space="preserve">nin yeterlik sınavının 1. test aşamasını Avrupa </w:t>
      </w:r>
      <w:r w:rsidR="00990597">
        <w:rPr>
          <w:sz w:val="24"/>
          <w:szCs w:val="24"/>
        </w:rPr>
        <w:t>D</w:t>
      </w:r>
      <w:r w:rsidRPr="004369C2">
        <w:rPr>
          <w:sz w:val="24"/>
          <w:szCs w:val="24"/>
        </w:rPr>
        <w:t>erneği ile işbirliği içinde yaptığı</w:t>
      </w:r>
      <w:r w:rsidR="00BE6AB2" w:rsidRPr="004369C2">
        <w:rPr>
          <w:sz w:val="24"/>
          <w:szCs w:val="24"/>
        </w:rPr>
        <w:t>, Türkçe yapılan bu sınavın</w:t>
      </w:r>
      <w:r w:rsidRPr="004369C2">
        <w:rPr>
          <w:sz w:val="24"/>
          <w:szCs w:val="24"/>
        </w:rPr>
        <w:t xml:space="preserve"> </w:t>
      </w:r>
      <w:r w:rsidR="00BE6AB2" w:rsidRPr="004369C2">
        <w:rPr>
          <w:sz w:val="24"/>
          <w:szCs w:val="24"/>
        </w:rPr>
        <w:t xml:space="preserve">Avrupa </w:t>
      </w:r>
      <w:r w:rsidR="00990597">
        <w:rPr>
          <w:sz w:val="24"/>
          <w:szCs w:val="24"/>
        </w:rPr>
        <w:t>B</w:t>
      </w:r>
      <w:r w:rsidR="00BE6AB2" w:rsidRPr="004369C2">
        <w:rPr>
          <w:sz w:val="24"/>
          <w:szCs w:val="24"/>
        </w:rPr>
        <w:t xml:space="preserve">oard </w:t>
      </w:r>
      <w:r w:rsidR="00990597">
        <w:rPr>
          <w:sz w:val="24"/>
          <w:szCs w:val="24"/>
        </w:rPr>
        <w:t>S</w:t>
      </w:r>
      <w:r w:rsidR="00BE6AB2" w:rsidRPr="004369C2">
        <w:rPr>
          <w:sz w:val="24"/>
          <w:szCs w:val="24"/>
        </w:rPr>
        <w:t xml:space="preserve">ınavı eşdeğeri olduğu </w:t>
      </w:r>
      <w:r w:rsidRPr="004369C2">
        <w:rPr>
          <w:sz w:val="24"/>
          <w:szCs w:val="24"/>
        </w:rPr>
        <w:t>ve Türkiye</w:t>
      </w:r>
      <w:r w:rsidR="00990597">
        <w:rPr>
          <w:sz w:val="24"/>
          <w:szCs w:val="24"/>
        </w:rPr>
        <w:t>’</w:t>
      </w:r>
      <w:r w:rsidRPr="004369C2">
        <w:rPr>
          <w:sz w:val="24"/>
          <w:szCs w:val="24"/>
        </w:rPr>
        <w:t>de Ankara ve İstanbul</w:t>
      </w:r>
      <w:r w:rsidR="00990597">
        <w:rPr>
          <w:sz w:val="24"/>
          <w:szCs w:val="24"/>
        </w:rPr>
        <w:t>’</w:t>
      </w:r>
      <w:r w:rsidRPr="004369C2">
        <w:rPr>
          <w:sz w:val="24"/>
          <w:szCs w:val="24"/>
        </w:rPr>
        <w:t xml:space="preserve">un Avrupa Sınavı Merkezi şeklinde çalıştığı </w:t>
      </w:r>
      <w:r w:rsidR="004369C2">
        <w:rPr>
          <w:sz w:val="24"/>
          <w:szCs w:val="24"/>
        </w:rPr>
        <w:t>anlatılmıştır.</w:t>
      </w:r>
      <w:r w:rsidRPr="004369C2">
        <w:rPr>
          <w:sz w:val="24"/>
          <w:szCs w:val="24"/>
        </w:rPr>
        <w:t xml:space="preserve"> Özellikle CESMA </w:t>
      </w:r>
      <w:r w:rsidR="00990597">
        <w:rPr>
          <w:sz w:val="24"/>
          <w:szCs w:val="24"/>
        </w:rPr>
        <w:t>B</w:t>
      </w:r>
      <w:r w:rsidRPr="004369C2">
        <w:rPr>
          <w:sz w:val="24"/>
          <w:szCs w:val="24"/>
        </w:rPr>
        <w:t>aşkanı</w:t>
      </w:r>
      <w:r w:rsidR="00990597">
        <w:rPr>
          <w:sz w:val="24"/>
          <w:szCs w:val="24"/>
        </w:rPr>
        <w:t>’</w:t>
      </w:r>
      <w:r w:rsidRPr="004369C2">
        <w:rPr>
          <w:sz w:val="24"/>
          <w:szCs w:val="24"/>
        </w:rPr>
        <w:t>nın anestezist olması ile bu işbirliğinin kuvvetlendirildiği</w:t>
      </w:r>
      <w:r w:rsidR="00BE6AB2" w:rsidRPr="004369C2">
        <w:rPr>
          <w:sz w:val="24"/>
          <w:szCs w:val="24"/>
        </w:rPr>
        <w:t xml:space="preserve">nden </w:t>
      </w:r>
      <w:r w:rsidR="00990597">
        <w:rPr>
          <w:sz w:val="24"/>
          <w:szCs w:val="24"/>
        </w:rPr>
        <w:t>söz e</w:t>
      </w:r>
      <w:r w:rsidR="00BE6AB2" w:rsidRPr="004369C2">
        <w:rPr>
          <w:sz w:val="24"/>
          <w:szCs w:val="24"/>
        </w:rPr>
        <w:t>dil</w:t>
      </w:r>
      <w:r w:rsidR="004369C2">
        <w:rPr>
          <w:sz w:val="24"/>
          <w:szCs w:val="24"/>
        </w:rPr>
        <w:t xml:space="preserve">miştir. </w:t>
      </w:r>
    </w:p>
    <w:p w:rsidR="004369C2" w:rsidRDefault="004369C2" w:rsidP="004369C2">
      <w:pPr>
        <w:pStyle w:val="ListeParagraf"/>
        <w:numPr>
          <w:ilvl w:val="1"/>
          <w:numId w:val="3"/>
        </w:numPr>
        <w:jc w:val="both"/>
        <w:rPr>
          <w:sz w:val="24"/>
          <w:szCs w:val="24"/>
        </w:rPr>
      </w:pPr>
      <w:r w:rsidRPr="004369C2">
        <w:rPr>
          <w:sz w:val="24"/>
          <w:szCs w:val="24"/>
        </w:rPr>
        <w:t>Y</w:t>
      </w:r>
      <w:r w:rsidR="00BE6AB2" w:rsidRPr="004369C2">
        <w:rPr>
          <w:sz w:val="24"/>
          <w:szCs w:val="24"/>
        </w:rPr>
        <w:t>eni hedefin CESMA ilişkileri üzerinde gidilerek Türkiye</w:t>
      </w:r>
      <w:r w:rsidR="00990597">
        <w:rPr>
          <w:sz w:val="24"/>
          <w:szCs w:val="24"/>
        </w:rPr>
        <w:t>’</w:t>
      </w:r>
      <w:r w:rsidR="00BE6AB2" w:rsidRPr="004369C2">
        <w:rPr>
          <w:sz w:val="24"/>
          <w:szCs w:val="24"/>
        </w:rPr>
        <w:t xml:space="preserve">de yapılan 2. </w:t>
      </w:r>
      <w:r w:rsidR="00366096" w:rsidRPr="004369C2">
        <w:rPr>
          <w:sz w:val="24"/>
          <w:szCs w:val="24"/>
        </w:rPr>
        <w:t>a</w:t>
      </w:r>
      <w:r w:rsidR="00BE6AB2" w:rsidRPr="004369C2">
        <w:rPr>
          <w:sz w:val="24"/>
          <w:szCs w:val="24"/>
        </w:rPr>
        <w:t xml:space="preserve">şamanın da Avrupa sınavı eşdeğeri olmasını sağlamak </w:t>
      </w:r>
      <w:r w:rsidRPr="004369C2">
        <w:rPr>
          <w:sz w:val="24"/>
          <w:szCs w:val="24"/>
        </w:rPr>
        <w:t>olabileceği konuşulmuştur.</w:t>
      </w:r>
    </w:p>
    <w:p w:rsidR="004369C2" w:rsidRDefault="008756F7" w:rsidP="004369C2">
      <w:pPr>
        <w:pStyle w:val="ListeParagraf"/>
        <w:numPr>
          <w:ilvl w:val="1"/>
          <w:numId w:val="3"/>
        </w:numPr>
        <w:jc w:val="both"/>
        <w:rPr>
          <w:sz w:val="24"/>
          <w:szCs w:val="24"/>
        </w:rPr>
      </w:pPr>
      <w:r w:rsidRPr="004369C2">
        <w:rPr>
          <w:sz w:val="24"/>
          <w:szCs w:val="24"/>
        </w:rPr>
        <w:t>Radyoloji</w:t>
      </w:r>
      <w:r w:rsidR="00990597">
        <w:rPr>
          <w:sz w:val="24"/>
          <w:szCs w:val="24"/>
        </w:rPr>
        <w:t xml:space="preserve">, </w:t>
      </w:r>
      <w:r w:rsidRPr="004369C2">
        <w:rPr>
          <w:sz w:val="24"/>
          <w:szCs w:val="24"/>
        </w:rPr>
        <w:t>Ortopedi ve Travmatoloji gibi bazı derneklerin ise Avrupa</w:t>
      </w:r>
      <w:r w:rsidR="00990597">
        <w:rPr>
          <w:sz w:val="24"/>
          <w:szCs w:val="24"/>
        </w:rPr>
        <w:t>’</w:t>
      </w:r>
      <w:r w:rsidRPr="004369C2">
        <w:rPr>
          <w:sz w:val="24"/>
          <w:szCs w:val="24"/>
        </w:rPr>
        <w:t>da yapılan sına</w:t>
      </w:r>
      <w:r w:rsidR="00BE6AB2" w:rsidRPr="004369C2">
        <w:rPr>
          <w:sz w:val="24"/>
          <w:szCs w:val="24"/>
        </w:rPr>
        <w:t>v</w:t>
      </w:r>
      <w:r w:rsidRPr="004369C2">
        <w:rPr>
          <w:sz w:val="24"/>
          <w:szCs w:val="24"/>
        </w:rPr>
        <w:t xml:space="preserve">lara sınav yapıcı bazında katkı sunduğu </w:t>
      </w:r>
      <w:r w:rsidR="004369C2" w:rsidRPr="004369C2">
        <w:rPr>
          <w:sz w:val="24"/>
          <w:szCs w:val="24"/>
        </w:rPr>
        <w:t>iletilmiştir.</w:t>
      </w:r>
    </w:p>
    <w:p w:rsidR="004369C2" w:rsidRDefault="00BE6AB2" w:rsidP="004369C2">
      <w:pPr>
        <w:pStyle w:val="ListeParagraf"/>
        <w:numPr>
          <w:ilvl w:val="1"/>
          <w:numId w:val="3"/>
        </w:numPr>
        <w:jc w:val="both"/>
        <w:rPr>
          <w:sz w:val="24"/>
          <w:szCs w:val="24"/>
        </w:rPr>
      </w:pPr>
      <w:r w:rsidRPr="004369C2">
        <w:rPr>
          <w:sz w:val="24"/>
          <w:szCs w:val="24"/>
        </w:rPr>
        <w:t xml:space="preserve">Avrupa dernekleri ile bu seviyede temas sağlayan derneklerin aynı şekilde CESMA ile iletişime geçmesi </w:t>
      </w:r>
      <w:r w:rsidR="004369C2" w:rsidRPr="004369C2">
        <w:rPr>
          <w:sz w:val="24"/>
          <w:szCs w:val="24"/>
        </w:rPr>
        <w:t>önerilmiştir.</w:t>
      </w:r>
    </w:p>
    <w:p w:rsidR="004369C2" w:rsidRPr="004369C2" w:rsidRDefault="00515642" w:rsidP="00515642">
      <w:pPr>
        <w:pStyle w:val="ListeParagraf"/>
        <w:numPr>
          <w:ilvl w:val="1"/>
          <w:numId w:val="3"/>
        </w:numPr>
        <w:jc w:val="both"/>
        <w:rPr>
          <w:sz w:val="24"/>
          <w:szCs w:val="24"/>
        </w:rPr>
      </w:pPr>
      <w:r w:rsidRPr="00515642">
        <w:rPr>
          <w:sz w:val="24"/>
          <w:szCs w:val="24"/>
        </w:rPr>
        <w:t>Klinik Mikrobiyoloji Uzmanlık Derneği</w:t>
      </w:r>
      <w:r w:rsidR="00990597">
        <w:rPr>
          <w:sz w:val="24"/>
          <w:szCs w:val="24"/>
        </w:rPr>
        <w:t>’</w:t>
      </w:r>
      <w:r>
        <w:rPr>
          <w:sz w:val="24"/>
          <w:szCs w:val="24"/>
        </w:rPr>
        <w:t>ni</w:t>
      </w:r>
      <w:r w:rsidR="00990597">
        <w:rPr>
          <w:sz w:val="24"/>
          <w:szCs w:val="24"/>
        </w:rPr>
        <w:t xml:space="preserve">n </w:t>
      </w:r>
      <w:r w:rsidR="004369C2" w:rsidRPr="004369C2">
        <w:rPr>
          <w:sz w:val="24"/>
          <w:szCs w:val="24"/>
        </w:rPr>
        <w:t xml:space="preserve">yeterlik belgesi vermek için sadece yeterlik sınavı uygulaması yapmadığı ve belli eğitim faaliyetlerini içeren bir kişisel gelişim dosyası ile de başvuru kabul ettiği paylaşılmıştır. </w:t>
      </w:r>
    </w:p>
    <w:p w:rsidR="004369C2" w:rsidRDefault="008756F7" w:rsidP="004369C2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4369C2">
        <w:rPr>
          <w:sz w:val="24"/>
          <w:szCs w:val="24"/>
        </w:rPr>
        <w:t xml:space="preserve">Yeterlik sınavına katılımın arttırılması için </w:t>
      </w:r>
      <w:r w:rsidR="00BE6AB2" w:rsidRPr="004369C2">
        <w:rPr>
          <w:sz w:val="24"/>
          <w:szCs w:val="24"/>
        </w:rPr>
        <w:t>yapılması</w:t>
      </w:r>
      <w:r w:rsidR="004369C2">
        <w:rPr>
          <w:sz w:val="24"/>
          <w:szCs w:val="24"/>
        </w:rPr>
        <w:t xml:space="preserve"> gereken çalışmaların ayrıntıları paylaşılmıştır. Ödüllendirme, vb. konuları üzerinde görüş alış verişinde bulunulmuştur.</w:t>
      </w:r>
    </w:p>
    <w:p w:rsidR="004369C2" w:rsidRDefault="004369C2" w:rsidP="004369C2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Öneriler bölümünde ise aşağıdaki konular öne çıkmıştır:</w:t>
      </w:r>
    </w:p>
    <w:p w:rsidR="004369C2" w:rsidRDefault="004369C2" w:rsidP="004369C2">
      <w:pPr>
        <w:pStyle w:val="ListeParagraf"/>
        <w:numPr>
          <w:ilvl w:val="1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Çalıştay</w:t>
      </w:r>
      <w:r w:rsidR="00990597">
        <w:rPr>
          <w:sz w:val="24"/>
          <w:szCs w:val="24"/>
        </w:rPr>
        <w:t>’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paylaşılan ayrıntıların yer aldığı “bülten/rapor” hazırlanması kararlaştırılmıştır.</w:t>
      </w:r>
    </w:p>
    <w:p w:rsidR="004369C2" w:rsidRPr="004369C2" w:rsidRDefault="004369C2" w:rsidP="004369C2">
      <w:pPr>
        <w:pStyle w:val="ListeParagraf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Türk Tabipleri Birliği’nin derneklerin de katkı ve işbirliği ile “ölçme-değerlendirme” merkezi kurması konusunun gündeme taşı</w:t>
      </w:r>
      <w:r w:rsidRPr="004369C2">
        <w:rPr>
          <w:sz w:val="24"/>
          <w:szCs w:val="24"/>
        </w:rPr>
        <w:t>nabileceği paylaşılmıştır.</w:t>
      </w:r>
    </w:p>
    <w:p w:rsidR="006A42EF" w:rsidRPr="000E25AB" w:rsidRDefault="004369C2" w:rsidP="00BF519B">
      <w:pPr>
        <w:pStyle w:val="ListeParagraf"/>
        <w:numPr>
          <w:ilvl w:val="1"/>
          <w:numId w:val="3"/>
        </w:numPr>
        <w:jc w:val="both"/>
        <w:rPr>
          <w:sz w:val="24"/>
          <w:szCs w:val="24"/>
        </w:rPr>
      </w:pPr>
      <w:r w:rsidRPr="000E25AB">
        <w:rPr>
          <w:sz w:val="24"/>
          <w:szCs w:val="24"/>
        </w:rPr>
        <w:t>Yeterlik Kurullarının YÖK tarafından tanınırlığı için çalışmaların yapılabileceği konuşulmuştur.</w:t>
      </w:r>
    </w:p>
    <w:sectPr w:rsidR="006A42EF" w:rsidRPr="000E25AB" w:rsidSect="0024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57E"/>
    <w:multiLevelType w:val="hybridMultilevel"/>
    <w:tmpl w:val="A6E62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04C3"/>
    <w:multiLevelType w:val="hybridMultilevel"/>
    <w:tmpl w:val="316A2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2161"/>
    <w:multiLevelType w:val="hybridMultilevel"/>
    <w:tmpl w:val="C898FF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EF"/>
    <w:rsid w:val="000714BA"/>
    <w:rsid w:val="000E25AB"/>
    <w:rsid w:val="001D6B2C"/>
    <w:rsid w:val="00241948"/>
    <w:rsid w:val="002D50C6"/>
    <w:rsid w:val="00366096"/>
    <w:rsid w:val="003B5E8D"/>
    <w:rsid w:val="003F64ED"/>
    <w:rsid w:val="004369C2"/>
    <w:rsid w:val="0047792A"/>
    <w:rsid w:val="00515642"/>
    <w:rsid w:val="005E4026"/>
    <w:rsid w:val="006A42EF"/>
    <w:rsid w:val="008756F7"/>
    <w:rsid w:val="00990597"/>
    <w:rsid w:val="0099482F"/>
    <w:rsid w:val="009F6D66"/>
    <w:rsid w:val="00A2605A"/>
    <w:rsid w:val="00BE6AB2"/>
    <w:rsid w:val="00C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6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basin</cp:lastModifiedBy>
  <cp:revision>2</cp:revision>
  <dcterms:created xsi:type="dcterms:W3CDTF">2015-04-06T13:57:00Z</dcterms:created>
  <dcterms:modified xsi:type="dcterms:W3CDTF">2015-04-06T13:57:00Z</dcterms:modified>
</cp:coreProperties>
</file>