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E0" w:rsidRDefault="00EF39E0" w:rsidP="00EF39E0">
      <w:pPr>
        <w:spacing w:after="200"/>
        <w:jc w:val="center"/>
        <w:rPr>
          <w:rFonts w:ascii="Calibri" w:hAnsi="Calibri"/>
          <w:b/>
          <w:bCs/>
        </w:rPr>
      </w:pPr>
      <w:bookmarkStart w:id="0" w:name="_GoBack"/>
      <w:r>
        <w:rPr>
          <w:rFonts w:ascii="Calibri" w:hAnsi="Calibri"/>
          <w:b/>
          <w:bCs/>
        </w:rPr>
        <w:t xml:space="preserve">UŞAK TABİP ODASI BAŞKANLIĞI’NDAN </w:t>
      </w:r>
      <w:bookmarkEnd w:id="0"/>
    </w:p>
    <w:p w:rsidR="00EF39E0" w:rsidRDefault="00EF39E0" w:rsidP="00EF39E0">
      <w:pPr>
        <w:spacing w:after="200"/>
        <w:jc w:val="center"/>
        <w:rPr>
          <w:rFonts w:ascii="Calibri" w:hAnsi="Calibri"/>
          <w:b/>
          <w:bCs/>
        </w:rPr>
      </w:pPr>
      <w:r>
        <w:rPr>
          <w:rFonts w:ascii="Calibri" w:hAnsi="Calibri"/>
          <w:b/>
          <w:bCs/>
        </w:rPr>
        <w:t xml:space="preserve">BASIN AÇIKLAMASI </w:t>
      </w:r>
    </w:p>
    <w:p w:rsidR="00EF39E0" w:rsidRDefault="00EF39E0" w:rsidP="00EF39E0">
      <w:pPr>
        <w:spacing w:after="200"/>
        <w:jc w:val="center"/>
        <w:rPr>
          <w:rFonts w:ascii="Calibri" w:hAnsi="Calibri"/>
          <w:b/>
          <w:bCs/>
          <w:sz w:val="32"/>
          <w:szCs w:val="32"/>
        </w:rPr>
      </w:pPr>
      <w:r>
        <w:rPr>
          <w:rFonts w:ascii="Calibri" w:hAnsi="Calibri"/>
          <w:b/>
          <w:bCs/>
          <w:sz w:val="32"/>
          <w:szCs w:val="32"/>
        </w:rPr>
        <w:t>19-20 NİSAN G</w:t>
      </w:r>
      <w:r>
        <w:rPr>
          <w:rFonts w:ascii="Calibri" w:hAnsi="Calibri"/>
          <w:b/>
          <w:bCs/>
          <w:sz w:val="20"/>
          <w:szCs w:val="20"/>
        </w:rPr>
        <w:t>(ö)</w:t>
      </w:r>
      <w:r>
        <w:rPr>
          <w:rFonts w:ascii="Calibri" w:hAnsi="Calibri"/>
          <w:b/>
          <w:bCs/>
          <w:sz w:val="32"/>
          <w:szCs w:val="32"/>
        </w:rPr>
        <w:t>REVDEYİZ</w:t>
      </w:r>
    </w:p>
    <w:p w:rsidR="00EF39E0" w:rsidRDefault="00EF39E0" w:rsidP="00EF39E0">
      <w:pPr>
        <w:spacing w:after="200"/>
        <w:jc w:val="center"/>
        <w:rPr>
          <w:rFonts w:ascii="Calibri" w:hAnsi="Calibri"/>
          <w:b/>
          <w:bCs/>
        </w:rPr>
      </w:pPr>
      <w:r>
        <w:rPr>
          <w:rFonts w:ascii="Calibri" w:hAnsi="Calibri"/>
          <w:b/>
          <w:bCs/>
        </w:rPr>
        <w:t>İyi Hekimlik, Nitelikli Sağlık Hizmeti için</w:t>
      </w:r>
    </w:p>
    <w:p w:rsidR="00EF39E0" w:rsidRDefault="00EF39E0" w:rsidP="00EF39E0">
      <w:pPr>
        <w:spacing w:after="200"/>
        <w:jc w:val="center"/>
        <w:rPr>
          <w:rFonts w:ascii="Calibri" w:hAnsi="Calibri"/>
          <w:b/>
          <w:bCs/>
        </w:rPr>
      </w:pPr>
      <w:r>
        <w:rPr>
          <w:rFonts w:ascii="Calibri" w:hAnsi="Calibri"/>
          <w:b/>
          <w:bCs/>
        </w:rPr>
        <w:t>15 ACİL TALEP</w:t>
      </w:r>
    </w:p>
    <w:p w:rsidR="00EF39E0" w:rsidRDefault="00EF39E0" w:rsidP="00EF39E0">
      <w:pPr>
        <w:ind w:left="720" w:hanging="360"/>
        <w:jc w:val="both"/>
        <w:rPr>
          <w:rFonts w:ascii="Tahoma" w:hAnsi="Tahoma" w:cs="Tahoma"/>
          <w:b/>
          <w:bCs/>
          <w:sz w:val="20"/>
          <w:szCs w:val="20"/>
        </w:rPr>
      </w:pPr>
      <w:r>
        <w:rPr>
          <w:rFonts w:ascii="Calibri" w:hAnsi="Calibri"/>
          <w:b/>
          <w:bCs/>
        </w:rPr>
        <w:t>1.</w:t>
      </w:r>
      <w:r>
        <w:rPr>
          <w:b/>
          <w:bCs/>
          <w:sz w:val="14"/>
          <w:szCs w:val="14"/>
        </w:rPr>
        <w:t xml:space="preserve">      </w:t>
      </w:r>
      <w:r>
        <w:rPr>
          <w:rFonts w:ascii="Calibri" w:hAnsi="Calibri"/>
          <w:b/>
          <w:bCs/>
        </w:rPr>
        <w:t>Hekimler arasında dayanışma yerine rekabete yol açan, hekimlik uygulamalarını değersizleştiren, hastaları “puan”a dönüştüren “performansa göre ücretlendirme” sisteminden vazgeçilmelidir.</w:t>
      </w:r>
    </w:p>
    <w:p w:rsidR="00EF39E0" w:rsidRDefault="00EF39E0" w:rsidP="00EF39E0">
      <w:pPr>
        <w:ind w:left="720" w:hanging="360"/>
        <w:jc w:val="both"/>
        <w:rPr>
          <w:rFonts w:ascii="Tahoma" w:hAnsi="Tahoma" w:cs="Tahoma"/>
          <w:b/>
          <w:bCs/>
          <w:sz w:val="20"/>
          <w:szCs w:val="20"/>
        </w:rPr>
      </w:pPr>
      <w:r>
        <w:rPr>
          <w:rFonts w:ascii="Calibri" w:hAnsi="Calibri"/>
          <w:b/>
          <w:bCs/>
        </w:rPr>
        <w:t>2.</w:t>
      </w:r>
      <w:r>
        <w:rPr>
          <w:b/>
          <w:bCs/>
          <w:sz w:val="14"/>
          <w:szCs w:val="14"/>
        </w:rPr>
        <w:t xml:space="preserve">      </w:t>
      </w:r>
      <w:r>
        <w:rPr>
          <w:rFonts w:ascii="Calibri" w:hAnsi="Calibri"/>
          <w:b/>
          <w:bCs/>
        </w:rPr>
        <w:t>Sosyal Güvenlik Kurumu Sağlık Uygulama Tebliği'nde yer alan ve yurttaşların sağlık hakkını engellemenin yanı sıra hekimlerin mesleki ve klinik bağımsızlığını yok eden bütün kısıtlamalar kaldırılmalı, hekimlerin tedaviyi düzenlemesine yönelik bütün düzenlemelerin, Türk Tabipleri Birliği ve Uzmanlık Derneklerinin katılımı ve bilimsel çalışmalarına dayalı yapılması sağlanmalıdır.</w:t>
      </w:r>
    </w:p>
    <w:p w:rsidR="00EF39E0" w:rsidRDefault="00EF39E0" w:rsidP="00EF39E0">
      <w:pPr>
        <w:ind w:left="720" w:hanging="360"/>
        <w:jc w:val="both"/>
        <w:rPr>
          <w:rFonts w:ascii="Tahoma" w:hAnsi="Tahoma" w:cs="Tahoma"/>
          <w:b/>
          <w:bCs/>
          <w:sz w:val="20"/>
          <w:szCs w:val="20"/>
        </w:rPr>
      </w:pPr>
      <w:r>
        <w:rPr>
          <w:rFonts w:ascii="Calibri" w:hAnsi="Calibri"/>
          <w:b/>
          <w:bCs/>
        </w:rPr>
        <w:t>3.</w:t>
      </w:r>
      <w:r>
        <w:rPr>
          <w:b/>
          <w:bCs/>
          <w:sz w:val="14"/>
          <w:szCs w:val="14"/>
        </w:rPr>
        <w:t xml:space="preserve">      </w:t>
      </w:r>
      <w:r>
        <w:rPr>
          <w:rFonts w:ascii="Calibri" w:hAnsi="Calibri"/>
          <w:b/>
          <w:bCs/>
        </w:rPr>
        <w:t xml:space="preserve">Tıp fakülteleri hastanelerinin ekonomik, yönetsel ve akademik özerkliği korunmalı; Sağlık Bakanlığı'na devredilme girişimleri durdurulmalıdır. </w:t>
      </w:r>
    </w:p>
    <w:p w:rsidR="00EF39E0" w:rsidRDefault="00EF39E0" w:rsidP="00EF39E0">
      <w:pPr>
        <w:ind w:left="720" w:hanging="360"/>
        <w:jc w:val="both"/>
        <w:rPr>
          <w:rFonts w:ascii="Tahoma" w:hAnsi="Tahoma" w:cs="Tahoma"/>
          <w:b/>
          <w:bCs/>
          <w:sz w:val="20"/>
          <w:szCs w:val="20"/>
        </w:rPr>
      </w:pPr>
      <w:r>
        <w:rPr>
          <w:rFonts w:ascii="Calibri" w:hAnsi="Calibri"/>
          <w:b/>
          <w:bCs/>
        </w:rPr>
        <w:t>4.</w:t>
      </w:r>
      <w:r>
        <w:rPr>
          <w:b/>
          <w:bCs/>
          <w:sz w:val="14"/>
          <w:szCs w:val="14"/>
        </w:rPr>
        <w:t xml:space="preserve">      </w:t>
      </w:r>
      <w:r>
        <w:rPr>
          <w:rFonts w:ascii="Calibri" w:hAnsi="Calibri"/>
          <w:b/>
          <w:bCs/>
        </w:rPr>
        <w:t xml:space="preserve">Başta asistan hekimler olmak üzere bütün hekimlerin nöbet ertesi izin hakkı istisnasız olarak uygulanmalı; haftalık çalışma süreleri, nöbetler de </w:t>
      </w:r>
      <w:proofErr w:type="gramStart"/>
      <w:r>
        <w:rPr>
          <w:rFonts w:ascii="Calibri" w:hAnsi="Calibri"/>
          <w:b/>
          <w:bCs/>
        </w:rPr>
        <w:t>dahil</w:t>
      </w:r>
      <w:proofErr w:type="gramEnd"/>
      <w:r>
        <w:rPr>
          <w:rFonts w:ascii="Calibri" w:hAnsi="Calibri"/>
          <w:b/>
          <w:bCs/>
        </w:rPr>
        <w:t>, 56 saati geçmemelidir.</w:t>
      </w:r>
    </w:p>
    <w:p w:rsidR="00EF39E0" w:rsidRDefault="00EF39E0" w:rsidP="00EF39E0">
      <w:pPr>
        <w:ind w:left="720" w:hanging="360"/>
        <w:jc w:val="both"/>
        <w:rPr>
          <w:rFonts w:ascii="Tahoma" w:hAnsi="Tahoma" w:cs="Tahoma"/>
          <w:b/>
          <w:bCs/>
          <w:sz w:val="20"/>
          <w:szCs w:val="20"/>
        </w:rPr>
      </w:pPr>
      <w:r>
        <w:rPr>
          <w:rFonts w:ascii="Calibri" w:hAnsi="Calibri"/>
          <w:b/>
          <w:bCs/>
        </w:rPr>
        <w:t>5.</w:t>
      </w:r>
      <w:r>
        <w:rPr>
          <w:b/>
          <w:bCs/>
          <w:sz w:val="14"/>
          <w:szCs w:val="14"/>
        </w:rPr>
        <w:t xml:space="preserve">      </w:t>
      </w:r>
      <w:r>
        <w:rPr>
          <w:rFonts w:ascii="Calibri" w:hAnsi="Calibri"/>
          <w:b/>
          <w:bCs/>
        </w:rPr>
        <w:t xml:space="preserve">Kamu sağlık kurumlarında sözleşmeli, döner sermayeden sözleşmeli, vekil, taşeron işçisi adı altında her tür güvencesiz çalıştırmaya, esnek-kuralsız, fazla çalıştırma ve angaryaya son verilmeli; taşeron şirket personelleri de </w:t>
      </w:r>
      <w:proofErr w:type="gramStart"/>
      <w:r>
        <w:rPr>
          <w:rFonts w:ascii="Calibri" w:hAnsi="Calibri"/>
          <w:b/>
          <w:bCs/>
        </w:rPr>
        <w:t>dahil</w:t>
      </w:r>
      <w:proofErr w:type="gramEnd"/>
      <w:r>
        <w:rPr>
          <w:rFonts w:ascii="Calibri" w:hAnsi="Calibri"/>
          <w:b/>
          <w:bCs/>
        </w:rPr>
        <w:t xml:space="preserve"> bütün sağlık çalışanları devlet memuru kadrosuna geçirilmelidir. </w:t>
      </w:r>
    </w:p>
    <w:p w:rsidR="00EF39E0" w:rsidRDefault="00EF39E0" w:rsidP="00EF39E0">
      <w:pPr>
        <w:ind w:left="720" w:hanging="360"/>
        <w:jc w:val="both"/>
        <w:rPr>
          <w:rFonts w:ascii="Tahoma" w:hAnsi="Tahoma" w:cs="Tahoma"/>
          <w:b/>
          <w:bCs/>
          <w:sz w:val="20"/>
          <w:szCs w:val="20"/>
        </w:rPr>
      </w:pPr>
      <w:r>
        <w:rPr>
          <w:rFonts w:ascii="Calibri" w:hAnsi="Calibri"/>
          <w:b/>
          <w:bCs/>
        </w:rPr>
        <w:t>6.</w:t>
      </w:r>
      <w:r>
        <w:rPr>
          <w:b/>
          <w:bCs/>
          <w:sz w:val="14"/>
          <w:szCs w:val="14"/>
        </w:rPr>
        <w:t xml:space="preserve">      </w:t>
      </w:r>
      <w:r>
        <w:rPr>
          <w:rFonts w:ascii="Calibri" w:hAnsi="Calibri"/>
          <w:b/>
          <w:bCs/>
        </w:rPr>
        <w:t>Özel sağlık kurumlarında çalışan hekimlerin sözleşmelerinde Türk Tabipleri Birliği taraf olarak kabul edilmeli; işten çıkarmalar Sağlık Bakanlığı ve Türk Tabipleri Birliği'nin iznine bağlı olmalıdır.</w:t>
      </w:r>
    </w:p>
    <w:p w:rsidR="00EF39E0" w:rsidRDefault="00EF39E0" w:rsidP="00EF39E0">
      <w:pPr>
        <w:ind w:left="720" w:hanging="360"/>
        <w:jc w:val="both"/>
        <w:rPr>
          <w:rFonts w:ascii="Tahoma" w:hAnsi="Tahoma" w:cs="Tahoma"/>
          <w:b/>
          <w:bCs/>
          <w:sz w:val="20"/>
          <w:szCs w:val="20"/>
        </w:rPr>
      </w:pPr>
      <w:r>
        <w:rPr>
          <w:rFonts w:ascii="Calibri" w:hAnsi="Calibri"/>
          <w:b/>
          <w:bCs/>
        </w:rPr>
        <w:t>7.</w:t>
      </w:r>
      <w:r>
        <w:rPr>
          <w:b/>
          <w:bCs/>
          <w:sz w:val="14"/>
          <w:szCs w:val="14"/>
        </w:rPr>
        <w:t xml:space="preserve">      </w:t>
      </w:r>
      <w:r>
        <w:rPr>
          <w:rFonts w:ascii="Calibri" w:hAnsi="Calibri"/>
          <w:b/>
          <w:bCs/>
        </w:rPr>
        <w:t>İşyeri hekimlerinin eğitim, atama ve ücretlerinin belirlenmesinde Türk Tabipleri Birliği'nin yetkilerini yok etmeye yönelik girişimler durdurulmalıdır.</w:t>
      </w:r>
    </w:p>
    <w:p w:rsidR="00EF39E0" w:rsidRDefault="00EF39E0" w:rsidP="00EF39E0">
      <w:pPr>
        <w:ind w:left="720" w:hanging="360"/>
        <w:jc w:val="both"/>
        <w:rPr>
          <w:rFonts w:ascii="Tahoma" w:hAnsi="Tahoma" w:cs="Tahoma"/>
          <w:b/>
          <w:bCs/>
          <w:sz w:val="20"/>
          <w:szCs w:val="20"/>
        </w:rPr>
      </w:pPr>
      <w:r>
        <w:rPr>
          <w:rFonts w:ascii="Calibri" w:hAnsi="Calibri"/>
          <w:b/>
          <w:bCs/>
        </w:rPr>
        <w:t>8.</w:t>
      </w:r>
      <w:r>
        <w:rPr>
          <w:b/>
          <w:bCs/>
          <w:sz w:val="14"/>
          <w:szCs w:val="14"/>
        </w:rPr>
        <w:t xml:space="preserve">      </w:t>
      </w:r>
      <w:r>
        <w:rPr>
          <w:rFonts w:ascii="Calibri" w:hAnsi="Calibri"/>
          <w:b/>
          <w:bCs/>
        </w:rPr>
        <w:t xml:space="preserve">Kurum hekimleri </w:t>
      </w:r>
      <w:proofErr w:type="gramStart"/>
      <w:r>
        <w:rPr>
          <w:rFonts w:ascii="Calibri" w:hAnsi="Calibri"/>
          <w:b/>
          <w:bCs/>
        </w:rPr>
        <w:t>dahil</w:t>
      </w:r>
      <w:proofErr w:type="gramEnd"/>
      <w:r>
        <w:rPr>
          <w:rFonts w:ascii="Calibri" w:hAnsi="Calibri"/>
          <w:b/>
          <w:bCs/>
        </w:rPr>
        <w:t xml:space="preserve"> olmak üzere birinci basamakta çalışan hekimler arasındaki ücret eşitsizliklerine son verilmelidir.</w:t>
      </w:r>
    </w:p>
    <w:p w:rsidR="00EF39E0" w:rsidRDefault="00EF39E0" w:rsidP="00EF39E0">
      <w:pPr>
        <w:ind w:left="720" w:hanging="360"/>
        <w:jc w:val="both"/>
        <w:rPr>
          <w:rFonts w:ascii="Tahoma" w:hAnsi="Tahoma" w:cs="Tahoma"/>
          <w:b/>
          <w:bCs/>
          <w:sz w:val="20"/>
          <w:szCs w:val="20"/>
        </w:rPr>
      </w:pPr>
      <w:r>
        <w:rPr>
          <w:rFonts w:ascii="Calibri" w:hAnsi="Calibri"/>
          <w:b/>
          <w:bCs/>
        </w:rPr>
        <w:t>9.</w:t>
      </w:r>
      <w:r>
        <w:rPr>
          <w:b/>
          <w:bCs/>
          <w:sz w:val="14"/>
          <w:szCs w:val="14"/>
        </w:rPr>
        <w:t xml:space="preserve">      </w:t>
      </w:r>
      <w:r>
        <w:rPr>
          <w:rFonts w:ascii="Calibri" w:hAnsi="Calibri"/>
          <w:b/>
          <w:bCs/>
        </w:rPr>
        <w:t xml:space="preserve">Aile hekimleri devlet memuru statüsüne geçirilmeli ve bu statünün haklarına sahip olmalıdır. </w:t>
      </w:r>
    </w:p>
    <w:p w:rsidR="00EF39E0" w:rsidRDefault="00EF39E0" w:rsidP="00EF39E0">
      <w:pPr>
        <w:ind w:left="720" w:hanging="360"/>
        <w:jc w:val="both"/>
        <w:rPr>
          <w:rFonts w:ascii="Tahoma" w:hAnsi="Tahoma" w:cs="Tahoma"/>
          <w:b/>
          <w:bCs/>
          <w:sz w:val="20"/>
          <w:szCs w:val="20"/>
        </w:rPr>
      </w:pPr>
      <w:r>
        <w:rPr>
          <w:rFonts w:ascii="Calibri" w:hAnsi="Calibri"/>
          <w:b/>
          <w:bCs/>
        </w:rPr>
        <w:t>10.</w:t>
      </w:r>
      <w:r>
        <w:rPr>
          <w:b/>
          <w:bCs/>
          <w:sz w:val="14"/>
          <w:szCs w:val="14"/>
        </w:rPr>
        <w:t xml:space="preserve">   </w:t>
      </w:r>
      <w:r>
        <w:rPr>
          <w:rFonts w:ascii="Calibri" w:hAnsi="Calibri"/>
          <w:b/>
          <w:bCs/>
        </w:rPr>
        <w:t>Sağlıklı ve güvenli koşullarda çalışma hakkını güvence altına alacak organizasyon ve düzenlemeler ile sağlık ortamlarının şiddetten arındırılması için Türk Tabipleri Birliği tarafından hazırlanan öneri doğrultusunda Türk Ceza Kanunu'nda gerekli değişiklik yapılmalıdır.</w:t>
      </w:r>
    </w:p>
    <w:p w:rsidR="00EF39E0" w:rsidRDefault="00EF39E0" w:rsidP="00EF39E0">
      <w:pPr>
        <w:ind w:left="720" w:hanging="360"/>
        <w:jc w:val="both"/>
        <w:rPr>
          <w:rFonts w:ascii="Tahoma" w:hAnsi="Tahoma" w:cs="Tahoma"/>
          <w:b/>
          <w:bCs/>
          <w:sz w:val="20"/>
          <w:szCs w:val="20"/>
        </w:rPr>
      </w:pPr>
      <w:r>
        <w:rPr>
          <w:rFonts w:ascii="Calibri" w:hAnsi="Calibri"/>
          <w:b/>
          <w:bCs/>
        </w:rPr>
        <w:t>11.</w:t>
      </w:r>
      <w:r>
        <w:rPr>
          <w:b/>
          <w:bCs/>
          <w:sz w:val="14"/>
          <w:szCs w:val="14"/>
        </w:rPr>
        <w:t xml:space="preserve">   </w:t>
      </w:r>
      <w:r>
        <w:rPr>
          <w:rFonts w:ascii="Calibri" w:hAnsi="Calibri"/>
          <w:b/>
          <w:bCs/>
        </w:rPr>
        <w:t xml:space="preserve">Hekimleri, sağlık çalışanlarını kamuoyu ve hastalar nezdinde küçük düşürücü tutum ve söylemlere son verilmelidir.    </w:t>
      </w:r>
    </w:p>
    <w:p w:rsidR="00EF39E0" w:rsidRDefault="00EF39E0" w:rsidP="00EF39E0">
      <w:pPr>
        <w:ind w:left="720" w:hanging="360"/>
        <w:jc w:val="both"/>
        <w:rPr>
          <w:rFonts w:ascii="Tahoma" w:hAnsi="Tahoma" w:cs="Tahoma"/>
          <w:b/>
          <w:bCs/>
          <w:sz w:val="20"/>
          <w:szCs w:val="20"/>
        </w:rPr>
      </w:pPr>
      <w:r>
        <w:rPr>
          <w:rFonts w:ascii="Calibri" w:hAnsi="Calibri"/>
          <w:b/>
          <w:bCs/>
        </w:rPr>
        <w:t>12.</w:t>
      </w:r>
      <w:r>
        <w:rPr>
          <w:b/>
          <w:bCs/>
          <w:sz w:val="14"/>
          <w:szCs w:val="14"/>
        </w:rPr>
        <w:t xml:space="preserve">   </w:t>
      </w:r>
      <w:r>
        <w:rPr>
          <w:rFonts w:ascii="Calibri" w:hAnsi="Calibri"/>
          <w:b/>
          <w:bCs/>
        </w:rPr>
        <w:t>Hekim ücretleri, Türk Tabipleri Birliği'nin hazırladığı “Sağlık Personelinin Tam Süre Çalışmasına ve Bazı Kanunlarda Değişiklik Yapılmasına Dair Kanun Tasarısı Önerisi”nde önerildiği şekilde iş güvenceli tek bir işte çalışarak insanca yaşamaya, mesleki gelişimi sürdürmeye yetecek, emekliliğe yansıyacak biçimde düzenlenmeli; ücret artışlarının halen emekli olan hekimleri yansıtılması sağlanmalıdır.</w:t>
      </w:r>
    </w:p>
    <w:p w:rsidR="00EF39E0" w:rsidRDefault="00EF39E0" w:rsidP="00EF39E0">
      <w:pPr>
        <w:ind w:left="720" w:hanging="360"/>
        <w:jc w:val="both"/>
        <w:rPr>
          <w:rFonts w:ascii="Tahoma" w:hAnsi="Tahoma" w:cs="Tahoma"/>
          <w:b/>
          <w:bCs/>
          <w:sz w:val="20"/>
          <w:szCs w:val="20"/>
        </w:rPr>
      </w:pPr>
      <w:r>
        <w:rPr>
          <w:rFonts w:ascii="Calibri" w:hAnsi="Calibri"/>
          <w:b/>
          <w:bCs/>
        </w:rPr>
        <w:t>13.</w:t>
      </w:r>
      <w:r>
        <w:rPr>
          <w:b/>
          <w:bCs/>
          <w:sz w:val="14"/>
          <w:szCs w:val="14"/>
        </w:rPr>
        <w:t xml:space="preserve">   </w:t>
      </w:r>
      <w:r>
        <w:rPr>
          <w:rFonts w:ascii="Calibri" w:hAnsi="Calibri"/>
          <w:b/>
          <w:bCs/>
        </w:rPr>
        <w:t xml:space="preserve">Hekimlerin çalışma hakkı ve özgürlüğünü ihlal eden düzenlemeler kaldırılmalı, bu yöndeki uygulamalara son verilmeli; tam süre çalışma konusunda Türk Tabipleri </w:t>
      </w:r>
      <w:r>
        <w:rPr>
          <w:rFonts w:ascii="Calibri" w:hAnsi="Calibri"/>
          <w:b/>
          <w:bCs/>
        </w:rPr>
        <w:lastRenderedPageBreak/>
        <w:t>Birliği'nin önerdiği düzenleme yapılana dek 5947 sayılı “Tam Gün Yasası”yla ilgili Anayasa Mahkemesi'nin iptal kararı doğrultusunda hareket edilmelidir.</w:t>
      </w:r>
    </w:p>
    <w:p w:rsidR="00EF39E0" w:rsidRDefault="00EF39E0" w:rsidP="00EF39E0">
      <w:pPr>
        <w:ind w:left="720" w:hanging="360"/>
        <w:jc w:val="both"/>
        <w:rPr>
          <w:rFonts w:ascii="Tahoma" w:hAnsi="Tahoma" w:cs="Tahoma"/>
          <w:b/>
          <w:bCs/>
          <w:sz w:val="20"/>
          <w:szCs w:val="20"/>
        </w:rPr>
      </w:pPr>
      <w:r>
        <w:rPr>
          <w:rFonts w:ascii="Calibri" w:hAnsi="Calibri"/>
          <w:b/>
          <w:bCs/>
        </w:rPr>
        <w:t>14.</w:t>
      </w:r>
      <w:r>
        <w:rPr>
          <w:b/>
          <w:bCs/>
          <w:sz w:val="14"/>
          <w:szCs w:val="14"/>
        </w:rPr>
        <w:t xml:space="preserve">   </w:t>
      </w:r>
      <w:r>
        <w:rPr>
          <w:rFonts w:ascii="Calibri" w:hAnsi="Calibri"/>
          <w:b/>
          <w:bCs/>
        </w:rPr>
        <w:t xml:space="preserve">Bütün sağlık kurumlarında işe giriş muayeneleri, aralıklı kontrol muayeneleri, çalışanların işe uyumu, </w:t>
      </w:r>
      <w:proofErr w:type="spellStart"/>
      <w:r>
        <w:rPr>
          <w:rFonts w:ascii="Calibri" w:hAnsi="Calibri"/>
          <w:b/>
          <w:bCs/>
        </w:rPr>
        <w:t>bağışıklama</w:t>
      </w:r>
      <w:proofErr w:type="spellEnd"/>
      <w:r>
        <w:rPr>
          <w:rFonts w:ascii="Calibri" w:hAnsi="Calibri"/>
          <w:b/>
          <w:bCs/>
        </w:rPr>
        <w:t xml:space="preserve">, sağlık eğitimleri, iş güvenliği çalışmalarının koordinasyonu, özellikli çalışanların takibi/muayenesi, iş ortamı risklerinin belirlenmesi, veri toplanması, araştırma yapılması, danışmanlık hizmetlerinin verileceği İşyeri Sağlık Birimleri kurulmalıdır. </w:t>
      </w:r>
    </w:p>
    <w:p w:rsidR="00EF39E0" w:rsidRDefault="00EF39E0" w:rsidP="00EF39E0">
      <w:pPr>
        <w:spacing w:after="200"/>
        <w:ind w:left="720" w:hanging="360"/>
        <w:jc w:val="both"/>
        <w:rPr>
          <w:rFonts w:ascii="Tahoma" w:hAnsi="Tahoma" w:cs="Tahoma"/>
          <w:b/>
          <w:bCs/>
          <w:sz w:val="20"/>
          <w:szCs w:val="20"/>
        </w:rPr>
      </w:pPr>
      <w:r>
        <w:rPr>
          <w:rFonts w:ascii="Calibri" w:hAnsi="Calibri"/>
          <w:b/>
          <w:bCs/>
        </w:rPr>
        <w:t>15.</w:t>
      </w:r>
      <w:r>
        <w:rPr>
          <w:b/>
          <w:bCs/>
          <w:sz w:val="14"/>
          <w:szCs w:val="14"/>
        </w:rPr>
        <w:t xml:space="preserve">   </w:t>
      </w:r>
      <w:r>
        <w:rPr>
          <w:rFonts w:ascii="Calibri" w:hAnsi="Calibri"/>
          <w:b/>
          <w:bCs/>
        </w:rPr>
        <w:t>Sağlığı ticarileştiren, sağlık hizmetlerini metalaştıran,  eşit-ücretsiz-nitelikli sağlık hizmetinin önündeki öncelikli engel olan sağlıktaki bütün katkı-katılım payları ve ilave ücretler kaldırılmalıdır.</w:t>
      </w:r>
    </w:p>
    <w:p w:rsidR="00EF39E0" w:rsidRDefault="00EF39E0" w:rsidP="00EF39E0">
      <w:pPr>
        <w:spacing w:after="200"/>
        <w:jc w:val="center"/>
        <w:rPr>
          <w:b/>
          <w:bCs/>
        </w:rPr>
      </w:pPr>
      <w:r>
        <w:rPr>
          <w:b/>
          <w:bCs/>
        </w:rPr>
        <w:t> </w:t>
      </w:r>
    </w:p>
    <w:p w:rsidR="00EF39E0" w:rsidRDefault="00EF39E0" w:rsidP="00EF39E0">
      <w:pPr>
        <w:spacing w:after="200"/>
        <w:jc w:val="center"/>
        <w:rPr>
          <w:b/>
          <w:bCs/>
        </w:rPr>
      </w:pPr>
      <w:r>
        <w:rPr>
          <w:b/>
          <w:bCs/>
        </w:rPr>
        <w:t> </w:t>
      </w:r>
    </w:p>
    <w:p w:rsidR="00EF39E0" w:rsidRDefault="00EF39E0" w:rsidP="00EF39E0">
      <w:pPr>
        <w:spacing w:after="200"/>
        <w:jc w:val="center"/>
        <w:rPr>
          <w:rFonts w:ascii="Calibri" w:hAnsi="Calibri"/>
          <w:b/>
          <w:bCs/>
          <w:sz w:val="40"/>
          <w:szCs w:val="40"/>
        </w:rPr>
      </w:pPr>
      <w:r>
        <w:rPr>
          <w:rFonts w:ascii="Calibri" w:hAnsi="Calibri"/>
          <w:b/>
          <w:bCs/>
          <w:sz w:val="40"/>
          <w:szCs w:val="40"/>
        </w:rPr>
        <w:t>UŞAK TABİP ODASI</w:t>
      </w:r>
    </w:p>
    <w:p w:rsidR="00586141" w:rsidRDefault="00586141"/>
    <w:sectPr w:rsidR="00586141" w:rsidSect="00586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39E0"/>
    <w:rsid w:val="00586141"/>
    <w:rsid w:val="00EF39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E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9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Company>TURBO A.Ş.</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dc:creator>
  <cp:lastModifiedBy>YOK</cp:lastModifiedBy>
  <cp:revision>1</cp:revision>
  <dcterms:created xsi:type="dcterms:W3CDTF">2011-04-19T15:53:00Z</dcterms:created>
  <dcterms:modified xsi:type="dcterms:W3CDTF">2011-04-19T15:54:00Z</dcterms:modified>
</cp:coreProperties>
</file>