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A1" w:rsidRDefault="000953A1" w:rsidP="000953A1">
      <w:pPr>
        <w:jc w:val="center"/>
      </w:pPr>
    </w:p>
    <w:p w:rsidR="004C11AA" w:rsidRDefault="004C11AA" w:rsidP="000953A1">
      <w:pPr>
        <w:jc w:val="center"/>
      </w:pPr>
    </w:p>
    <w:p w:rsidR="006E3A96" w:rsidRDefault="00C34923" w:rsidP="000953A1">
      <w:pPr>
        <w:jc w:val="center"/>
        <w:rPr>
          <w:b/>
        </w:rPr>
      </w:pPr>
      <w:r>
        <w:rPr>
          <w:b/>
        </w:rPr>
        <w:t>ORTAK AÇIKLAMA</w:t>
      </w:r>
    </w:p>
    <w:p w:rsidR="00C34923" w:rsidRDefault="00C34923" w:rsidP="000953A1">
      <w:pPr>
        <w:jc w:val="center"/>
        <w:rPr>
          <w:b/>
        </w:rPr>
      </w:pPr>
      <w:r>
        <w:rPr>
          <w:b/>
        </w:rPr>
        <w:t>HAPİSHANELERDEKİ ÇOCUKLARIN YAŞAM HAKKINDAN ENDİŞE DUYUYORUZ</w:t>
      </w:r>
    </w:p>
    <w:p w:rsidR="00CD61F0" w:rsidRDefault="00291C8D" w:rsidP="003C7055">
      <w:r w:rsidRPr="00A04BF2">
        <w:t>Yetişkin mahpusların tutulduğu</w:t>
      </w:r>
      <w:r>
        <w:t xml:space="preserve"> </w:t>
      </w:r>
      <w:r w:rsidR="00CD61F0">
        <w:t>Adana</w:t>
      </w:r>
      <w:r w:rsidR="00037BEC">
        <w:t xml:space="preserve"> </w:t>
      </w:r>
      <w:r w:rsidR="00037BEC" w:rsidRPr="0097483E">
        <w:t>(Kürkçüler)</w:t>
      </w:r>
      <w:r w:rsidR="00CD61F0">
        <w:t xml:space="preserve"> E Tipi</w:t>
      </w:r>
      <w:r w:rsidR="00037BEC">
        <w:t xml:space="preserve"> </w:t>
      </w:r>
      <w:r w:rsidR="00037BEC" w:rsidRPr="0097483E">
        <w:t>Kapalı</w:t>
      </w:r>
      <w:r w:rsidR="00037BEC">
        <w:t xml:space="preserve"> </w:t>
      </w:r>
      <w:r w:rsidR="00BB454B">
        <w:t>Ceza İnfaz Kurumu’nda</w:t>
      </w:r>
      <w:r w:rsidR="00CD61F0">
        <w:t xml:space="preserve"> 18.01.2017 tarihinde</w:t>
      </w:r>
      <w:r>
        <w:t xml:space="preserve"> </w:t>
      </w:r>
      <w:r w:rsidR="00A04BF2" w:rsidRPr="00A04BF2">
        <w:t>çocuk koğuşu olarak</w:t>
      </w:r>
      <w:r w:rsidRPr="00A04BF2">
        <w:t xml:space="preserve"> adlandırılan</w:t>
      </w:r>
      <w:r w:rsidR="00037BEC">
        <w:t xml:space="preserve"> </w:t>
      </w:r>
      <w:r>
        <w:t>koğuşta</w:t>
      </w:r>
      <w:r w:rsidR="0097483E">
        <w:t xml:space="preserve"> </w:t>
      </w:r>
      <w:r w:rsidR="00296391">
        <w:t>çıka</w:t>
      </w:r>
      <w:r w:rsidR="00037BEC">
        <w:t>n</w:t>
      </w:r>
      <w:r w:rsidR="00296391">
        <w:t xml:space="preserve"> yangın nedeniyle Muhammet Erdoğan</w:t>
      </w:r>
      <w:r w:rsidR="00BB454B">
        <w:t xml:space="preserve"> </w:t>
      </w:r>
      <w:r w:rsidR="00296391">
        <w:t>(17), Ferhat Kaya</w:t>
      </w:r>
      <w:r w:rsidR="00BB454B">
        <w:t xml:space="preserve"> </w:t>
      </w:r>
      <w:r w:rsidR="00296391">
        <w:t>(17) ve Mehmet Altunhan isimli mahpuslar yaşamını yitirirken Adana Valisi Mahmut Demirtaş’ın açıklamasına göre 5 infaz koruma memuru ve 3 çocuk</w:t>
      </w:r>
      <w:r w:rsidR="00037BEC">
        <w:t xml:space="preserve"> </w:t>
      </w:r>
      <w:r w:rsidR="00296391">
        <w:t xml:space="preserve">da yaralanmıştır. </w:t>
      </w:r>
      <w:r w:rsidR="00CD61F0">
        <w:t>Çocukların yaşamlarını yitirmesinin ardından yangına ilişkin açılan soruşturmada gizlilik kararı verilmiş</w:t>
      </w:r>
      <w:r w:rsidR="004C11AA">
        <w:t xml:space="preserve">, </w:t>
      </w:r>
      <w:r w:rsidR="005522C7">
        <w:t xml:space="preserve">süreçle ilgili </w:t>
      </w:r>
      <w:r w:rsidR="000E6866">
        <w:t xml:space="preserve">yeterli </w:t>
      </w:r>
      <w:r w:rsidR="004C11AA">
        <w:t>bilgi</w:t>
      </w:r>
      <w:r w:rsidR="000E6866">
        <w:t>y</w:t>
      </w:r>
      <w:r w:rsidR="004C11AA">
        <w:t>e ulaşılamamıştır.</w:t>
      </w:r>
      <w:r w:rsidR="00CD61F0">
        <w:rPr>
          <w:rStyle w:val="DipnotBavurusu"/>
        </w:rPr>
        <w:footnoteReference w:id="1"/>
      </w:r>
      <w:r w:rsidR="00296391">
        <w:t xml:space="preserve"> </w:t>
      </w:r>
    </w:p>
    <w:p w:rsidR="004C11AA" w:rsidRDefault="004C11AA" w:rsidP="003C7055">
      <w:r>
        <w:t xml:space="preserve">Yangının ardından sağlıklı bilgilere erişebilmenin yolları aranmıştır;  </w:t>
      </w:r>
    </w:p>
    <w:p w:rsidR="00D61BAA" w:rsidRDefault="00D61BAA" w:rsidP="00D61BAA">
      <w:pPr>
        <w:pStyle w:val="ListeParagraf"/>
        <w:numPr>
          <w:ilvl w:val="0"/>
          <w:numId w:val="1"/>
        </w:numPr>
      </w:pPr>
      <w:r>
        <w:t>CİSST, çocukların kasıtlı olarak neden yangın çıkarttığının</w:t>
      </w:r>
      <w:r w:rsidR="0097483E">
        <w:t xml:space="preserve"> </w:t>
      </w:r>
      <w:r>
        <w:t>afet</w:t>
      </w:r>
      <w:r w:rsidR="005522C7">
        <w:t xml:space="preserve"> </w:t>
      </w:r>
      <w:r w:rsidR="000E6866">
        <w:t xml:space="preserve">ya da </w:t>
      </w:r>
      <w:r>
        <w:t xml:space="preserve">yangın söz konusu olduğunda acil </w:t>
      </w:r>
      <w:r w:rsidR="000E6866">
        <w:t xml:space="preserve">bir </w:t>
      </w:r>
      <w:r>
        <w:t>tahliye planının olup olmadığının anlaşılması için kamera kayıtlarının izlenerek ve çocuklarla görüşme yapılarak bir inceleme yapılması talebiyle Adalet Bakanlığı, Ceza ve Tevkifevleri Genel Müdürlüğü, Adana İl İnsan Hakları Kurulu, Adana İl Cezaevi İzleme Kurulu ve TBMM İnsan Haklarını İnceleme Komisyonu’na 19 Ocak 2017 tarihinde başvurularda bulunmuş</w:t>
      </w:r>
      <w:r w:rsidR="00702034">
        <w:t>tur.</w:t>
      </w:r>
      <w:r>
        <w:t xml:space="preserve"> </w:t>
      </w:r>
      <w:r w:rsidR="00702034">
        <w:t>A</w:t>
      </w:r>
      <w:r>
        <w:t xml:space="preserve">ncak bu başvuruların sonucunda bilgilendirici nitelikte cevaplar verilmemiştir. </w:t>
      </w:r>
    </w:p>
    <w:p w:rsidR="004C11AA" w:rsidRDefault="005577BB" w:rsidP="004C11AA">
      <w:pPr>
        <w:pStyle w:val="ListeParagraf"/>
        <w:numPr>
          <w:ilvl w:val="0"/>
          <w:numId w:val="1"/>
        </w:numPr>
      </w:pPr>
      <w:r>
        <w:t xml:space="preserve">Adana Barosu’na </w:t>
      </w:r>
      <w:r w:rsidR="00702034">
        <w:t>kayıtlı</w:t>
      </w:r>
      <w:r w:rsidR="00037BEC">
        <w:t xml:space="preserve">, </w:t>
      </w:r>
      <w:r w:rsidR="00037BEC" w:rsidRPr="0097483E">
        <w:t>Adana Barosu Cezaevi Komisyonu üyesi</w:t>
      </w:r>
      <w:r>
        <w:t xml:space="preserve"> Avukat Tugay Bek ve İstanbul Barosu</w:t>
      </w:r>
      <w:r w:rsidR="00037BEC">
        <w:t xml:space="preserve"> </w:t>
      </w:r>
      <w:r w:rsidR="00037BEC" w:rsidRPr="0097483E">
        <w:t>avukatlarından</w:t>
      </w:r>
      <w:r w:rsidR="00037BEC">
        <w:t xml:space="preserve"> </w:t>
      </w:r>
      <w:r>
        <w:t>ve Ceza İnfaz Sisteminde Sivil Toplum Derneği</w:t>
      </w:r>
      <w:r w:rsidR="00702034">
        <w:t xml:space="preserve"> çalışanı</w:t>
      </w:r>
      <w:r>
        <w:t xml:space="preserve"> Ezgi Duman yaşananların anlaşılabilmesi için yangın çıkan koğuşta bulunan R.K. isimli çocuk mahpus ile</w:t>
      </w:r>
      <w:r w:rsidR="00AC3516">
        <w:t xml:space="preserve"> görüşme yapmıştır</w:t>
      </w:r>
      <w:r w:rsidR="005522C7">
        <w:t>.</w:t>
      </w:r>
      <w:r w:rsidR="00AC3516">
        <w:t xml:space="preserve"> </w:t>
      </w:r>
      <w:proofErr w:type="gramStart"/>
      <w:r w:rsidR="00AC3516">
        <w:t>(</w:t>
      </w:r>
      <w:proofErr w:type="gramEnd"/>
      <w:r w:rsidR="00AC3516">
        <w:t>Bu</w:t>
      </w:r>
      <w:r>
        <w:t xml:space="preserve"> görüşme, herhangi bir savcılık kararı ve yasa</w:t>
      </w:r>
      <w:r w:rsidR="00037BEC">
        <w:t>l</w:t>
      </w:r>
      <w:r>
        <w:t xml:space="preserve"> dayanağı olmaksızın usulsüz bir şekilde dinlenmiş</w:t>
      </w:r>
      <w:r w:rsidR="00AC314D">
        <w:t xml:space="preserve">tir. </w:t>
      </w:r>
      <w:r w:rsidR="00AC3516">
        <w:t>Avukatların, g</w:t>
      </w:r>
      <w:r>
        <w:t>örüşme yaptıkları R.K. isimli çocuğa baskı yaparak yönlendirmeye çalıştıkları iddiasıyla</w:t>
      </w:r>
      <w:r w:rsidR="00D05742">
        <w:t xml:space="preserve"> kurum idaresi tarafından</w:t>
      </w:r>
      <w:r>
        <w:t xml:space="preserve"> tutanak tutularak bağlı bulundukları barolara hak</w:t>
      </w:r>
      <w:r w:rsidR="00AC3516">
        <w:t>lar</w:t>
      </w:r>
      <w:r>
        <w:t>ında soruşturma başlatılma</w:t>
      </w:r>
      <w:r w:rsidR="004C11AA">
        <w:t>sı için başvuruda bulunulmuştur</w:t>
      </w:r>
      <w:r w:rsidR="00AC3516">
        <w:t>.</w:t>
      </w:r>
      <w:proofErr w:type="gramStart"/>
      <w:r w:rsidR="00AC3516">
        <w:t>)</w:t>
      </w:r>
      <w:proofErr w:type="gramEnd"/>
      <w:r w:rsidR="004C11AA">
        <w:t xml:space="preserve"> </w:t>
      </w:r>
    </w:p>
    <w:p w:rsidR="004C11AA" w:rsidRDefault="0097483E" w:rsidP="004C11AA">
      <w:pPr>
        <w:pStyle w:val="ListeParagraf"/>
        <w:numPr>
          <w:ilvl w:val="0"/>
          <w:numId w:val="1"/>
        </w:numPr>
      </w:pPr>
      <w:r>
        <w:t>CİSST, İnsan Hakları Derneği, Türk Tabipler Birliği ve Türkiye Çocuklara Yen</w:t>
      </w:r>
      <w:r w:rsidR="008903A7">
        <w:t>iden Özgürlük Vakfı’ndan oluşan</w:t>
      </w:r>
      <w:r>
        <w:t xml:space="preserve"> heyet</w:t>
      </w:r>
      <w:r w:rsidR="002E36BA">
        <w:t>,</w:t>
      </w:r>
      <w:r w:rsidR="00AC3516">
        <w:t xml:space="preserve"> </w:t>
      </w:r>
      <w:r w:rsidR="004C11AA">
        <w:t>yangının neden çık</w:t>
      </w:r>
      <w:r w:rsidR="00AD03E2">
        <w:t>t</w:t>
      </w:r>
      <w:r w:rsidR="004C11AA">
        <w:t xml:space="preserve">ına ilişkin </w:t>
      </w:r>
      <w:r w:rsidR="00AD03E2">
        <w:t xml:space="preserve">doğru </w:t>
      </w:r>
      <w:r w:rsidR="004C11AA">
        <w:t xml:space="preserve">bilgilere erişebilmek ve üretilebilecek çözümlere dahil olmak amacıyla Ceza ve Tevkifevleri Genel Müdürlüğü’ne </w:t>
      </w:r>
      <w:r w:rsidR="002E36BA">
        <w:t>görüşme talebinde bulunmuştur. Ancak bu talep</w:t>
      </w:r>
      <w:r w:rsidR="004C11AA">
        <w:rPr>
          <w:rStyle w:val="DipnotBavurusu"/>
        </w:rPr>
        <w:footnoteReference w:id="2"/>
      </w:r>
      <w:r w:rsidR="004C11AA">
        <w:t xml:space="preserve"> reddedilmiştir.</w:t>
      </w:r>
    </w:p>
    <w:p w:rsidR="004C11AA" w:rsidRDefault="005373E8" w:rsidP="004C11AA">
      <w:pPr>
        <w:pStyle w:val="ListeParagraf"/>
        <w:numPr>
          <w:ilvl w:val="0"/>
          <w:numId w:val="1"/>
        </w:numPr>
      </w:pPr>
      <w:r>
        <w:t>CİSST tarafından,</w:t>
      </w:r>
      <w:r w:rsidR="004C11AA">
        <w:t xml:space="preserve"> </w:t>
      </w:r>
      <w:r>
        <w:t>u</w:t>
      </w:r>
      <w:r w:rsidR="004C11AA">
        <w:t xml:space="preserve">lusal önleme mekanizması olarak tanımlanan Türkiye İnsan Hakları ve Eşitlik Kurumu’na Adana E Tipi </w:t>
      </w:r>
      <w:r w:rsidR="00037BEC" w:rsidRPr="004D2BD8">
        <w:t>Kapalı</w:t>
      </w:r>
      <w:r w:rsidR="00037BEC">
        <w:t xml:space="preserve"> </w:t>
      </w:r>
      <w:r w:rsidR="002E36BA">
        <w:t>Ceza İnfaz Kurumu’nda çıkan</w:t>
      </w:r>
      <w:r w:rsidR="004C11AA">
        <w:t xml:space="preserve"> yangınlara ilişkin ortak ziyaret talebinde bulunulmuş</w:t>
      </w:r>
      <w:r>
        <w:t>tur (Bu talep kabul görmüş</w:t>
      </w:r>
      <w:r w:rsidR="004C11AA">
        <w:t xml:space="preserve"> ancak kuruma </w:t>
      </w:r>
      <w:r w:rsidR="00E04074">
        <w:t xml:space="preserve">yeni </w:t>
      </w:r>
      <w:r w:rsidR="004C11AA">
        <w:t>ata</w:t>
      </w:r>
      <w:r w:rsidR="00E04074">
        <w:t xml:space="preserve">nan üyelerin henüz göreve </w:t>
      </w:r>
      <w:r>
        <w:t>başlamaması gerekçe gösterilerek</w:t>
      </w:r>
      <w:r w:rsidR="004C11AA">
        <w:t xml:space="preserve"> ile bu t</w:t>
      </w:r>
      <w:r w:rsidR="00D61BAA">
        <w:t>ale</w:t>
      </w:r>
      <w:r>
        <w:t>p</w:t>
      </w:r>
      <w:r w:rsidR="00D61BAA">
        <w:t xml:space="preserve"> belirsiz bir tarihe ertelenmiştir.</w:t>
      </w:r>
      <w:r>
        <w:t>)</w:t>
      </w:r>
      <w:r w:rsidR="00D61BAA">
        <w:t xml:space="preserve"> </w:t>
      </w:r>
    </w:p>
    <w:p w:rsidR="004C11AA" w:rsidRDefault="005373E8" w:rsidP="003C7055">
      <w:r>
        <w:t>STÖ’lerin girişimleri sonuçsuz kalırken, y</w:t>
      </w:r>
      <w:r w:rsidR="00400714">
        <w:t>angın çıkan koğuşta bulunan</w:t>
      </w:r>
      <w:r w:rsidR="00D61BAA">
        <w:t xml:space="preserve"> R.K. isimli çocuk hakkında </w:t>
      </w:r>
      <w:r>
        <w:t>“</w:t>
      </w:r>
      <w:r w:rsidR="007729BB">
        <w:t>kasten öldürme</w:t>
      </w:r>
      <w:r w:rsidR="00D61BAA">
        <w:t>,</w:t>
      </w:r>
      <w:r w:rsidR="007729BB">
        <w:t xml:space="preserve"> kasten yaralama ve</w:t>
      </w:r>
      <w:r w:rsidR="00D61BAA">
        <w:t xml:space="preserve"> kamu malına zarar vermek</w:t>
      </w:r>
      <w:r>
        <w:t>”</w:t>
      </w:r>
      <w:r w:rsidR="00D61BAA">
        <w:t xml:space="preserve"> suçlamalarıyla dava açılmıştır. </w:t>
      </w:r>
      <w:r w:rsidR="00400714">
        <w:lastRenderedPageBreak/>
        <w:t>İ</w:t>
      </w:r>
      <w:r w:rsidR="00D61BAA">
        <w:t>ddianamede</w:t>
      </w:r>
      <w:r w:rsidR="00D61BAA">
        <w:rPr>
          <w:rStyle w:val="DipnotBavurusu"/>
        </w:rPr>
        <w:footnoteReference w:id="3"/>
      </w:r>
      <w:r w:rsidR="00CA22DB">
        <w:t xml:space="preserve"> ifadeleri alınan</w:t>
      </w:r>
      <w:r w:rsidR="00D61BAA">
        <w:t xml:space="preserve"> çocukların </w:t>
      </w:r>
      <w:r w:rsidR="00400714">
        <w:t xml:space="preserve">daha sonra </w:t>
      </w:r>
      <w:r w:rsidR="00D61BAA">
        <w:t xml:space="preserve">ifadelerini değiştirdikleri </w:t>
      </w:r>
      <w:r w:rsidR="00400714">
        <w:t>belirtilmişse de ilk ifadelere yer verilmemiştir. Çocuklardan bazılarının ifadelerine dayanılarak yangının sevk nedeniyle gerçekleştirildiğine kanaat getirilmiş</w:t>
      </w:r>
      <w:r>
        <w:t>,</w:t>
      </w:r>
      <w:r w:rsidR="00400714">
        <w:t xml:space="preserve"> </w:t>
      </w:r>
      <w:r w:rsidR="008D20CE">
        <w:t>yangının çıkarılmasında kurum personelinin kusuru olmadığı</w:t>
      </w:r>
      <w:r w:rsidR="00400714">
        <w:t>na ilişkin bilirkişi raporuna da değinilmiştir.</w:t>
      </w:r>
      <w:r w:rsidR="008D20CE">
        <w:t xml:space="preserve"> </w:t>
      </w:r>
      <w:r w:rsidR="00400714">
        <w:t>İ</w:t>
      </w:r>
      <w:r w:rsidR="00853B16">
        <w:t>ddianamede</w:t>
      </w:r>
      <w:r w:rsidR="009A00B6">
        <w:t xml:space="preserve"> </w:t>
      </w:r>
      <w:r>
        <w:t xml:space="preserve">çocuk mahpusların </w:t>
      </w:r>
      <w:r w:rsidR="009A00B6">
        <w:t xml:space="preserve">yeni </w:t>
      </w:r>
      <w:r w:rsidR="00596A4C">
        <w:t>açılan</w:t>
      </w:r>
      <w:r w:rsidR="00853B16">
        <w:t xml:space="preserve"> çocuk hapishanesine</w:t>
      </w:r>
      <w:r w:rsidR="009A00B6">
        <w:t xml:space="preserve"> sevk edilmek </w:t>
      </w:r>
      <w:r w:rsidR="00853B16">
        <w:t xml:space="preserve">yerine kendilerinin talep ettiği başka bir hapishaneye </w:t>
      </w:r>
      <w:r w:rsidR="009A00B6">
        <w:t>neden sevk edilmek istediklerine</w:t>
      </w:r>
      <w:r w:rsidR="00CA22DB">
        <w:t xml:space="preserve"> ilişkin</w:t>
      </w:r>
      <w:r w:rsidR="009A00B6">
        <w:t xml:space="preserve"> bilgi</w:t>
      </w:r>
      <w:r w:rsidR="005522C7">
        <w:t xml:space="preserve"> </w:t>
      </w:r>
      <w:r w:rsidR="009A00B6">
        <w:t xml:space="preserve">yer </w:t>
      </w:r>
      <w:r w:rsidR="005522C7">
        <w:t>almamaktadır</w:t>
      </w:r>
      <w:r w:rsidR="009A00B6">
        <w:t>.</w:t>
      </w:r>
    </w:p>
    <w:p w:rsidR="005A734D" w:rsidRDefault="00853B16" w:rsidP="005577BB">
      <w:r>
        <w:t>Henüz ilk yangın ve ölümlerin tartışması sürerken</w:t>
      </w:r>
      <w:r w:rsidR="00400714">
        <w:t xml:space="preserve">, </w:t>
      </w:r>
      <w:r w:rsidR="005577BB">
        <w:t>25 Mart 2017 tarihinde</w:t>
      </w:r>
      <w:r w:rsidR="00400714">
        <w:t xml:space="preserve">, </w:t>
      </w:r>
      <w:r w:rsidR="005577BB">
        <w:t>A</w:t>
      </w:r>
      <w:r w:rsidR="00E94805">
        <w:t xml:space="preserve">dana E Tipi </w:t>
      </w:r>
      <w:r w:rsidR="00037BEC" w:rsidRPr="004D2BD8">
        <w:t>Kapalı</w:t>
      </w:r>
      <w:r w:rsidR="00037BEC">
        <w:t xml:space="preserve"> </w:t>
      </w:r>
      <w:r>
        <w:t>Ceza İnfaz Kurumu’nda</w:t>
      </w:r>
      <w:r w:rsidR="00400714">
        <w:t xml:space="preserve"> ikinci bir yangın daha çıkmış ve</w:t>
      </w:r>
      <w:r w:rsidR="005577BB">
        <w:t xml:space="preserve"> </w:t>
      </w:r>
      <w:r w:rsidR="009A00B6">
        <w:t>bu yan</w:t>
      </w:r>
      <w:r w:rsidR="00037BEC">
        <w:t>gı</w:t>
      </w:r>
      <w:r w:rsidR="009A00B6">
        <w:t xml:space="preserve">nın da </w:t>
      </w:r>
      <w:r w:rsidR="005577BB">
        <w:t xml:space="preserve">çocuklar tarafından </w:t>
      </w:r>
      <w:r w:rsidR="00400714">
        <w:t>başlatıldığı belirtilmiştir.</w:t>
      </w:r>
      <w:r w:rsidR="005B5DD3">
        <w:t xml:space="preserve"> Çocuklar tarafından başlatıldığı belirtilen bu ikinci yangına ilişkin de </w:t>
      </w:r>
      <w:r w:rsidR="005522C7">
        <w:t xml:space="preserve">açıklayıcı </w:t>
      </w:r>
      <w:r w:rsidR="005B5DD3">
        <w:t>bir bilgi</w:t>
      </w:r>
      <w:r w:rsidR="00CA22DB">
        <w:t xml:space="preserve"> paylaşılmamıştır.</w:t>
      </w:r>
      <w:r w:rsidR="005B5DD3">
        <w:t xml:space="preserve"> </w:t>
      </w:r>
    </w:p>
    <w:p w:rsidR="00842BEE" w:rsidRDefault="00400714" w:rsidP="005577BB">
      <w:r>
        <w:t>B</w:t>
      </w:r>
      <w:r w:rsidR="00E94805">
        <w:t xml:space="preserve">u </w:t>
      </w:r>
      <w:r>
        <w:t>gelişme</w:t>
      </w:r>
      <w:r w:rsidR="005B5DD3">
        <w:t>ler</w:t>
      </w:r>
      <w:r>
        <w:t xml:space="preserve"> </w:t>
      </w:r>
      <w:r w:rsidR="009A00B6">
        <w:t xml:space="preserve">Adana </w:t>
      </w:r>
      <w:r w:rsidR="005A734D">
        <w:t>Kapalı Ceza İnfaz Kurumu’nda tutulan</w:t>
      </w:r>
      <w:r w:rsidR="009A00B6">
        <w:t xml:space="preserve"> çocuklara ilişkin endişeleri arttırmış; </w:t>
      </w:r>
      <w:r w:rsidR="00E94805">
        <w:t xml:space="preserve">olayın münferit </w:t>
      </w:r>
      <w:r w:rsidR="009A00B6">
        <w:t>olmadığı,</w:t>
      </w:r>
      <w:r w:rsidR="00E94805">
        <w:t xml:space="preserve"> Adana’daki çocukların ihtiyaçlarının veya </w:t>
      </w:r>
      <w:r w:rsidR="00312F96">
        <w:t>şikâyetlerinin</w:t>
      </w:r>
      <w:r w:rsidR="00E94805">
        <w:t xml:space="preserve"> </w:t>
      </w:r>
      <w:r w:rsidR="005A734D">
        <w:t>dikkate alınmadığı izlenimi uyandırmıştır.</w:t>
      </w:r>
    </w:p>
    <w:p w:rsidR="00776C09" w:rsidRDefault="005522C7" w:rsidP="00776C09">
      <w:r>
        <w:t>İ</w:t>
      </w:r>
      <w:r w:rsidR="004A23C5">
        <w:t xml:space="preserve">lk yangına ilişkin </w:t>
      </w:r>
      <w:r w:rsidR="00776C09">
        <w:t>düzenlen</w:t>
      </w:r>
      <w:r>
        <w:t>e</w:t>
      </w:r>
      <w:r w:rsidR="00776C09">
        <w:t xml:space="preserve">n </w:t>
      </w:r>
      <w:r w:rsidR="004A23C5">
        <w:t>idd</w:t>
      </w:r>
      <w:r w:rsidR="00776C09">
        <w:t>ianame</w:t>
      </w:r>
      <w:r>
        <w:t>de</w:t>
      </w:r>
      <w:r w:rsidR="00776C09">
        <w:t>, kamu malına zarar verilmesi refleksiyle yangını çıkaran kişilere odaklan</w:t>
      </w:r>
      <w:r>
        <w:t>arak</w:t>
      </w:r>
      <w:r w:rsidR="00776C09">
        <w:t xml:space="preserve"> çocuk mahpuslara dava açıl</w:t>
      </w:r>
      <w:r>
        <w:t>ması talebi</w:t>
      </w:r>
      <w:r w:rsidR="005E1818">
        <w:t>nin</w:t>
      </w:r>
      <w:r>
        <w:t>,</w:t>
      </w:r>
      <w:r w:rsidR="00776C09">
        <w:t xml:space="preserve"> kamu görevlileri</w:t>
      </w:r>
      <w:r>
        <w:t xml:space="preserve">nin ise </w:t>
      </w:r>
      <w:r w:rsidR="00776C09">
        <w:t>y</w:t>
      </w:r>
      <w:r w:rsidR="00826927">
        <w:t xml:space="preserve">angının çıkarılmasında </w:t>
      </w:r>
      <w:r>
        <w:t xml:space="preserve">herhangi </w:t>
      </w:r>
      <w:r w:rsidR="00826927">
        <w:t>bir kusuru bulunmadığı</w:t>
      </w:r>
      <w:r>
        <w:t xml:space="preserve"> görüşü</w:t>
      </w:r>
      <w:r w:rsidR="005E1818">
        <w:t>nün</w:t>
      </w:r>
      <w:r w:rsidR="00776C09">
        <w:t xml:space="preserve"> </w:t>
      </w:r>
      <w:r w:rsidR="005E1818">
        <w:t>yer almış olması</w:t>
      </w:r>
      <w:r w:rsidR="00776C09">
        <w:t xml:space="preserve"> eleştiriye açıktır. İddianame yangına odaklanırken, çocuk mahpusların neden yangın çıkardığını, onların yangın çıkarmasına neden olan koşulları ve sorunları yok saymaktadır. Bu iddianame şu soruyu gündeme getirmektedir:</w:t>
      </w:r>
    </w:p>
    <w:p w:rsidR="00776C09" w:rsidRDefault="00776C09" w:rsidP="00776C09">
      <w:r>
        <w:t>“Kamu görevlilerinin yangının çıkmasında ihmalleri olmamasına rağmen, yangın öncesinde, çocuk mahpusları yangın çıkarmak zorunda bırakan koşullarda sorumlulukları var mıdır?”</w:t>
      </w:r>
    </w:p>
    <w:p w:rsidR="005577BB" w:rsidRDefault="008219DE" w:rsidP="00776C09">
      <w:r>
        <w:t>Ç</w:t>
      </w:r>
      <w:r w:rsidR="00F31227">
        <w:t xml:space="preserve">ocukların iki ay arayla yangın çıkardığı yönündeki resmi açıklamalar, mahpusların hayati risk taşıyan girişimlerde bulunmalarına sebebiyet veren koşulların araştırılmasına ilişkin bir çalışmayı mecburi kılmaktadır. </w:t>
      </w:r>
    </w:p>
    <w:p w:rsidR="00584169" w:rsidRDefault="00521D96" w:rsidP="003C7055">
      <w:r>
        <w:t>Türkiye’de</w:t>
      </w:r>
      <w:r w:rsidR="00584169">
        <w:t xml:space="preserve"> </w:t>
      </w:r>
      <w:r>
        <w:t xml:space="preserve">2009 yılından </w:t>
      </w:r>
      <w:r w:rsidR="000D3B5A">
        <w:t>Mart</w:t>
      </w:r>
      <w:r w:rsidR="00776C09">
        <w:t xml:space="preserve"> 2017</w:t>
      </w:r>
      <w:r>
        <w:t xml:space="preserve"> </w:t>
      </w:r>
      <w:r w:rsidR="00776C09">
        <w:t>tarihine kadar</w:t>
      </w:r>
      <w:r>
        <w:t xml:space="preserve"> hapishanelerde 1</w:t>
      </w:r>
      <w:r w:rsidR="00776C09">
        <w:t>8</w:t>
      </w:r>
      <w:r>
        <w:t xml:space="preserve"> çocuk yaşamını yitirmiştir.</w:t>
      </w:r>
      <w:r w:rsidR="00584169">
        <w:rPr>
          <w:rStyle w:val="DipnotBavurusu"/>
        </w:rPr>
        <w:footnoteReference w:id="4"/>
      </w:r>
      <w:r>
        <w:t xml:space="preserve"> </w:t>
      </w:r>
      <w:r w:rsidR="00F14B37">
        <w:t xml:space="preserve">Bu </w:t>
      </w:r>
      <w:r w:rsidR="00584169">
        <w:t xml:space="preserve">18 çocuktan 5’i son 7 ayda, kendi bulundukları oda/koğuşta yangın çıkartmaları sonucunda </w:t>
      </w:r>
      <w:r w:rsidR="00803A8D">
        <w:t>hayatlarını kaybetmiştir.</w:t>
      </w:r>
      <w:r w:rsidR="00584169">
        <w:t xml:space="preserve"> </w:t>
      </w:r>
    </w:p>
    <w:p w:rsidR="00D84C81" w:rsidRDefault="00584169" w:rsidP="000953A1">
      <w:r>
        <w:t>CHP Milletvekili Gamze Akkuş İlgezdi’nin</w:t>
      </w:r>
      <w:r w:rsidR="00CE717F">
        <w:t xml:space="preserve"> bilgi edinme başvurusuna</w:t>
      </w:r>
      <w:r w:rsidR="00CE717F">
        <w:rPr>
          <w:rStyle w:val="DipnotBavurusu"/>
        </w:rPr>
        <w:footnoteReference w:id="5"/>
      </w:r>
      <w:r>
        <w:t xml:space="preserve"> </w:t>
      </w:r>
      <w:r w:rsidR="00CB23E6">
        <w:t xml:space="preserve"> </w:t>
      </w:r>
      <w:r>
        <w:t xml:space="preserve">Adalet Bakanlığı tarafından </w:t>
      </w:r>
      <w:r w:rsidR="00CB23E6">
        <w:t xml:space="preserve">verilen </w:t>
      </w:r>
      <w:r>
        <w:t>yanıt</w:t>
      </w:r>
      <w:r w:rsidR="00CB23E6">
        <w:t>ta</w:t>
      </w:r>
      <w:r>
        <w:t xml:space="preserve"> </w:t>
      </w:r>
      <w:r w:rsidR="00F65B56">
        <w:t xml:space="preserve">paylaşılan tabloya bakıldığında çocuk mahpusların yaşamını kaybetme nedenlerinin çoğunlukla intihar olduğu anlaşılmaktadır. </w:t>
      </w:r>
    </w:p>
    <w:p w:rsidR="005577BB" w:rsidRDefault="005577BB" w:rsidP="000953A1"/>
    <w:tbl>
      <w:tblPr>
        <w:tblStyle w:val="TabloKlavuzu"/>
        <w:tblW w:w="0" w:type="auto"/>
        <w:tblInd w:w="-38" w:type="dxa"/>
        <w:tblCellMar>
          <w:left w:w="70" w:type="dxa"/>
          <w:right w:w="70" w:type="dxa"/>
        </w:tblCellMar>
        <w:tblLook w:val="0000"/>
      </w:tblPr>
      <w:tblGrid>
        <w:gridCol w:w="1126"/>
        <w:gridCol w:w="1653"/>
        <w:gridCol w:w="11"/>
        <w:gridCol w:w="1065"/>
        <w:gridCol w:w="7"/>
        <w:gridCol w:w="1107"/>
        <w:gridCol w:w="1060"/>
        <w:gridCol w:w="14"/>
        <w:gridCol w:w="1110"/>
        <w:gridCol w:w="1064"/>
        <w:gridCol w:w="9"/>
        <w:gridCol w:w="1018"/>
        <w:gridCol w:w="6"/>
      </w:tblGrid>
      <w:tr w:rsidR="000866C9" w:rsidTr="000866C9">
        <w:trPr>
          <w:gridAfter w:val="1"/>
          <w:wAfter w:w="6" w:type="dxa"/>
          <w:trHeight w:val="720"/>
        </w:trPr>
        <w:tc>
          <w:tcPr>
            <w:tcW w:w="1126" w:type="dxa"/>
            <w:shd w:val="clear" w:color="auto" w:fill="DBE5F1" w:themeFill="accent1" w:themeFillTint="33"/>
          </w:tcPr>
          <w:p w:rsidR="00762ADB" w:rsidRPr="000866C9" w:rsidRDefault="00762ADB" w:rsidP="00762ADB">
            <w:pPr>
              <w:spacing w:after="200" w:line="276" w:lineRule="auto"/>
              <w:rPr>
                <w:b/>
                <w:sz w:val="18"/>
              </w:rPr>
            </w:pPr>
            <w:r w:rsidRPr="000866C9">
              <w:rPr>
                <w:b/>
                <w:sz w:val="18"/>
              </w:rPr>
              <w:lastRenderedPageBreak/>
              <w:t>Vukuat Türü</w:t>
            </w:r>
          </w:p>
        </w:tc>
        <w:tc>
          <w:tcPr>
            <w:tcW w:w="1653" w:type="dxa"/>
            <w:shd w:val="clear" w:color="auto" w:fill="DBE5F1" w:themeFill="accent1" w:themeFillTint="33"/>
          </w:tcPr>
          <w:p w:rsidR="009F512E" w:rsidRPr="000866C9" w:rsidRDefault="00762ADB">
            <w:pPr>
              <w:rPr>
                <w:b/>
                <w:sz w:val="18"/>
              </w:rPr>
            </w:pPr>
            <w:r w:rsidRPr="000866C9">
              <w:rPr>
                <w:b/>
                <w:sz w:val="18"/>
              </w:rPr>
              <w:t xml:space="preserve">Diğer Ölümler(izindeyken, </w:t>
            </w:r>
          </w:p>
          <w:p w:rsidR="00762ADB" w:rsidRPr="000866C9" w:rsidRDefault="00762ADB">
            <w:pPr>
              <w:rPr>
                <w:b/>
                <w:sz w:val="18"/>
              </w:rPr>
            </w:pPr>
            <w:r w:rsidRPr="000866C9">
              <w:rPr>
                <w:b/>
                <w:sz w:val="18"/>
              </w:rPr>
              <w:t xml:space="preserve">Trafik kazası, vb. </w:t>
            </w:r>
          </w:p>
        </w:tc>
        <w:tc>
          <w:tcPr>
            <w:tcW w:w="1076" w:type="dxa"/>
            <w:gridSpan w:val="2"/>
            <w:shd w:val="clear" w:color="auto" w:fill="DBE5F1" w:themeFill="accent1" w:themeFillTint="33"/>
          </w:tcPr>
          <w:p w:rsidR="00762ADB" w:rsidRPr="000866C9" w:rsidRDefault="00762ADB">
            <w:pPr>
              <w:rPr>
                <w:b/>
                <w:sz w:val="18"/>
              </w:rPr>
            </w:pPr>
          </w:p>
          <w:p w:rsidR="009F512E" w:rsidRPr="000866C9" w:rsidRDefault="00762ADB">
            <w:pPr>
              <w:rPr>
                <w:b/>
                <w:sz w:val="18"/>
              </w:rPr>
            </w:pPr>
            <w:r w:rsidRPr="000866C9">
              <w:rPr>
                <w:b/>
                <w:sz w:val="18"/>
              </w:rPr>
              <w:t>Eceliyle ölüm</w:t>
            </w:r>
          </w:p>
        </w:tc>
        <w:tc>
          <w:tcPr>
            <w:tcW w:w="2174" w:type="dxa"/>
            <w:gridSpan w:val="3"/>
            <w:shd w:val="clear" w:color="auto" w:fill="DBE5F1" w:themeFill="accent1" w:themeFillTint="33"/>
          </w:tcPr>
          <w:p w:rsidR="00762ADB" w:rsidRPr="000866C9" w:rsidRDefault="00762ADB" w:rsidP="00762ADB">
            <w:pPr>
              <w:jc w:val="center"/>
              <w:rPr>
                <w:b/>
              </w:rPr>
            </w:pPr>
          </w:p>
          <w:p w:rsidR="009F512E" w:rsidRPr="000866C9" w:rsidRDefault="00762ADB" w:rsidP="00762ADB">
            <w:pPr>
              <w:jc w:val="center"/>
              <w:rPr>
                <w:b/>
              </w:rPr>
            </w:pPr>
            <w:r w:rsidRPr="000866C9">
              <w:rPr>
                <w:b/>
                <w:sz w:val="18"/>
              </w:rPr>
              <w:t>İntihar</w:t>
            </w:r>
          </w:p>
        </w:tc>
        <w:tc>
          <w:tcPr>
            <w:tcW w:w="2188" w:type="dxa"/>
            <w:gridSpan w:val="3"/>
            <w:shd w:val="clear" w:color="auto" w:fill="DBE5F1" w:themeFill="accent1" w:themeFillTint="33"/>
          </w:tcPr>
          <w:p w:rsidR="00762ADB" w:rsidRPr="000866C9" w:rsidRDefault="00762ADB">
            <w:pPr>
              <w:rPr>
                <w:b/>
              </w:rPr>
            </w:pPr>
          </w:p>
          <w:p w:rsidR="00762ADB" w:rsidRPr="000866C9" w:rsidRDefault="00762ADB" w:rsidP="00762ADB">
            <w:pPr>
              <w:jc w:val="center"/>
              <w:rPr>
                <w:b/>
              </w:rPr>
            </w:pPr>
            <w:r w:rsidRPr="000866C9">
              <w:rPr>
                <w:b/>
                <w:sz w:val="18"/>
              </w:rPr>
              <w:t>Öldürülme</w:t>
            </w:r>
          </w:p>
        </w:tc>
        <w:tc>
          <w:tcPr>
            <w:tcW w:w="1027" w:type="dxa"/>
            <w:gridSpan w:val="2"/>
            <w:tcBorders>
              <w:bottom w:val="nil"/>
            </w:tcBorders>
            <w:shd w:val="clear" w:color="auto" w:fill="DBE5F1" w:themeFill="accent1" w:themeFillTint="33"/>
          </w:tcPr>
          <w:p w:rsidR="00762ADB" w:rsidRPr="000866C9" w:rsidRDefault="00762ADB" w:rsidP="00762ADB">
            <w:pPr>
              <w:jc w:val="center"/>
              <w:rPr>
                <w:b/>
                <w:sz w:val="18"/>
              </w:rPr>
            </w:pPr>
            <w:r w:rsidRPr="000866C9">
              <w:rPr>
                <w:b/>
                <w:sz w:val="18"/>
              </w:rPr>
              <w:t>Genel</w:t>
            </w:r>
          </w:p>
          <w:p w:rsidR="00762ADB" w:rsidRPr="000866C9" w:rsidRDefault="00762ADB" w:rsidP="00762ADB">
            <w:pPr>
              <w:jc w:val="center"/>
              <w:rPr>
                <w:b/>
              </w:rPr>
            </w:pPr>
            <w:r w:rsidRPr="000866C9">
              <w:rPr>
                <w:b/>
                <w:sz w:val="18"/>
              </w:rPr>
              <w:t>Toplam</w:t>
            </w:r>
          </w:p>
        </w:tc>
      </w:tr>
      <w:tr w:rsidR="000866C9" w:rsidTr="000866C9">
        <w:tblPrEx>
          <w:tblCellMar>
            <w:left w:w="108" w:type="dxa"/>
            <w:right w:w="108" w:type="dxa"/>
          </w:tblCellMar>
          <w:tblLook w:val="04A0"/>
        </w:tblPrEx>
        <w:trPr>
          <w:trHeight w:val="572"/>
        </w:trPr>
        <w:tc>
          <w:tcPr>
            <w:tcW w:w="1126" w:type="dxa"/>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Yıl</w:t>
            </w:r>
          </w:p>
        </w:tc>
        <w:tc>
          <w:tcPr>
            <w:tcW w:w="1664" w:type="dxa"/>
            <w:gridSpan w:val="2"/>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Hükümlü</w:t>
            </w:r>
          </w:p>
        </w:tc>
        <w:tc>
          <w:tcPr>
            <w:tcW w:w="1072" w:type="dxa"/>
            <w:gridSpan w:val="2"/>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Tutuklu</w:t>
            </w:r>
          </w:p>
        </w:tc>
        <w:tc>
          <w:tcPr>
            <w:tcW w:w="1107" w:type="dxa"/>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Hükümlü</w:t>
            </w:r>
          </w:p>
        </w:tc>
        <w:tc>
          <w:tcPr>
            <w:tcW w:w="1074" w:type="dxa"/>
            <w:gridSpan w:val="2"/>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Tutuklu</w:t>
            </w:r>
          </w:p>
        </w:tc>
        <w:tc>
          <w:tcPr>
            <w:tcW w:w="1110" w:type="dxa"/>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Hükümlü</w:t>
            </w:r>
          </w:p>
        </w:tc>
        <w:tc>
          <w:tcPr>
            <w:tcW w:w="1073" w:type="dxa"/>
            <w:gridSpan w:val="2"/>
            <w:shd w:val="clear" w:color="auto" w:fill="DBE5F1" w:themeFill="accent1" w:themeFillTint="33"/>
          </w:tcPr>
          <w:p w:rsidR="000866C9" w:rsidRDefault="000866C9" w:rsidP="000866C9">
            <w:pPr>
              <w:jc w:val="center"/>
              <w:rPr>
                <w:b/>
                <w:sz w:val="18"/>
              </w:rPr>
            </w:pPr>
          </w:p>
          <w:p w:rsidR="009F512E" w:rsidRPr="000866C9" w:rsidRDefault="00762ADB" w:rsidP="000866C9">
            <w:pPr>
              <w:jc w:val="center"/>
              <w:rPr>
                <w:b/>
                <w:sz w:val="18"/>
              </w:rPr>
            </w:pPr>
            <w:r w:rsidRPr="000866C9">
              <w:rPr>
                <w:b/>
                <w:sz w:val="18"/>
              </w:rPr>
              <w:t>Tutuklu</w:t>
            </w:r>
          </w:p>
        </w:tc>
        <w:tc>
          <w:tcPr>
            <w:tcW w:w="1024" w:type="dxa"/>
            <w:gridSpan w:val="2"/>
            <w:shd w:val="clear" w:color="auto" w:fill="DBE5F1" w:themeFill="accent1" w:themeFillTint="33"/>
          </w:tcPr>
          <w:p w:rsidR="009F512E" w:rsidRPr="000866C9" w:rsidRDefault="009F512E" w:rsidP="000953A1">
            <w:pPr>
              <w:rPr>
                <w:b/>
              </w:rPr>
            </w:pPr>
          </w:p>
        </w:tc>
      </w:tr>
      <w:tr w:rsidR="000866C9" w:rsidTr="000866C9">
        <w:tblPrEx>
          <w:tblCellMar>
            <w:left w:w="108" w:type="dxa"/>
            <w:right w:w="108" w:type="dxa"/>
          </w:tblCellMar>
          <w:tblLook w:val="04A0"/>
        </w:tblPrEx>
        <w:trPr>
          <w:trHeight w:val="433"/>
        </w:trPr>
        <w:tc>
          <w:tcPr>
            <w:tcW w:w="1126" w:type="dxa"/>
          </w:tcPr>
          <w:p w:rsidR="009F512E" w:rsidRPr="000866C9" w:rsidRDefault="00762ADB" w:rsidP="000866C9">
            <w:pPr>
              <w:jc w:val="center"/>
              <w:rPr>
                <w:b/>
                <w:sz w:val="18"/>
                <w:szCs w:val="18"/>
              </w:rPr>
            </w:pPr>
            <w:r w:rsidRPr="000866C9">
              <w:rPr>
                <w:b/>
                <w:sz w:val="18"/>
                <w:szCs w:val="18"/>
              </w:rPr>
              <w:t>2009</w:t>
            </w:r>
          </w:p>
        </w:tc>
        <w:tc>
          <w:tcPr>
            <w:tcW w:w="1664" w:type="dxa"/>
            <w:gridSpan w:val="2"/>
          </w:tcPr>
          <w:p w:rsidR="009F512E" w:rsidRPr="00762ADB" w:rsidRDefault="009F512E" w:rsidP="000866C9">
            <w:pPr>
              <w:jc w:val="center"/>
              <w:rPr>
                <w:color w:val="1F497D" w:themeColor="text2"/>
              </w:rPr>
            </w:pPr>
          </w:p>
        </w:tc>
        <w:tc>
          <w:tcPr>
            <w:tcW w:w="1072" w:type="dxa"/>
            <w:gridSpan w:val="2"/>
          </w:tcPr>
          <w:p w:rsidR="009F512E" w:rsidRPr="00762ADB" w:rsidRDefault="009F512E" w:rsidP="000866C9">
            <w:pPr>
              <w:jc w:val="center"/>
              <w:rPr>
                <w:color w:val="1F497D" w:themeColor="text2"/>
              </w:rPr>
            </w:pPr>
          </w:p>
        </w:tc>
        <w:tc>
          <w:tcPr>
            <w:tcW w:w="1107" w:type="dxa"/>
          </w:tcPr>
          <w:p w:rsidR="009F512E" w:rsidRDefault="009F512E" w:rsidP="000866C9">
            <w:pPr>
              <w:jc w:val="center"/>
            </w:pPr>
          </w:p>
        </w:tc>
        <w:tc>
          <w:tcPr>
            <w:tcW w:w="1074" w:type="dxa"/>
            <w:gridSpan w:val="2"/>
          </w:tcPr>
          <w:p w:rsidR="009F512E" w:rsidRDefault="009F512E" w:rsidP="000866C9">
            <w:pPr>
              <w:jc w:val="center"/>
            </w:pPr>
          </w:p>
        </w:tc>
        <w:tc>
          <w:tcPr>
            <w:tcW w:w="1110" w:type="dxa"/>
          </w:tcPr>
          <w:p w:rsidR="009F512E" w:rsidRDefault="009F512E" w:rsidP="000866C9">
            <w:pPr>
              <w:jc w:val="center"/>
            </w:pPr>
          </w:p>
        </w:tc>
        <w:tc>
          <w:tcPr>
            <w:tcW w:w="1073" w:type="dxa"/>
            <w:gridSpan w:val="2"/>
          </w:tcPr>
          <w:p w:rsidR="009F512E" w:rsidRDefault="000866C9" w:rsidP="000866C9">
            <w:pPr>
              <w:jc w:val="center"/>
            </w:pPr>
            <w:r>
              <w:t>1</w:t>
            </w:r>
          </w:p>
        </w:tc>
        <w:tc>
          <w:tcPr>
            <w:tcW w:w="1024" w:type="dxa"/>
            <w:gridSpan w:val="2"/>
          </w:tcPr>
          <w:p w:rsidR="009F512E" w:rsidRDefault="000866C9" w:rsidP="000866C9">
            <w:pPr>
              <w:jc w:val="center"/>
            </w:pPr>
            <w:r>
              <w:t>1</w:t>
            </w:r>
          </w:p>
        </w:tc>
      </w:tr>
      <w:tr w:rsidR="000866C9" w:rsidTr="000866C9">
        <w:tblPrEx>
          <w:tblCellMar>
            <w:left w:w="108" w:type="dxa"/>
            <w:right w:w="108" w:type="dxa"/>
          </w:tblCellMar>
          <w:tblLook w:val="04A0"/>
        </w:tblPrEx>
        <w:trPr>
          <w:trHeight w:val="452"/>
        </w:trPr>
        <w:tc>
          <w:tcPr>
            <w:tcW w:w="1126" w:type="dxa"/>
          </w:tcPr>
          <w:p w:rsidR="009F512E" w:rsidRPr="000866C9" w:rsidRDefault="00762ADB" w:rsidP="000866C9">
            <w:pPr>
              <w:jc w:val="center"/>
              <w:rPr>
                <w:b/>
                <w:sz w:val="18"/>
                <w:szCs w:val="18"/>
              </w:rPr>
            </w:pPr>
            <w:r w:rsidRPr="000866C9">
              <w:rPr>
                <w:b/>
                <w:sz w:val="18"/>
                <w:szCs w:val="18"/>
              </w:rPr>
              <w:t>2010</w:t>
            </w:r>
          </w:p>
        </w:tc>
        <w:tc>
          <w:tcPr>
            <w:tcW w:w="1664" w:type="dxa"/>
            <w:gridSpan w:val="2"/>
          </w:tcPr>
          <w:p w:rsidR="009F512E" w:rsidRDefault="009F512E" w:rsidP="000866C9">
            <w:pPr>
              <w:jc w:val="center"/>
            </w:pPr>
          </w:p>
        </w:tc>
        <w:tc>
          <w:tcPr>
            <w:tcW w:w="1072" w:type="dxa"/>
            <w:gridSpan w:val="2"/>
          </w:tcPr>
          <w:p w:rsidR="009F512E" w:rsidRDefault="009F512E" w:rsidP="000866C9">
            <w:pPr>
              <w:jc w:val="center"/>
            </w:pPr>
          </w:p>
        </w:tc>
        <w:tc>
          <w:tcPr>
            <w:tcW w:w="1107" w:type="dxa"/>
          </w:tcPr>
          <w:p w:rsidR="009F512E" w:rsidRDefault="000866C9" w:rsidP="000866C9">
            <w:pPr>
              <w:jc w:val="center"/>
            </w:pPr>
            <w:r>
              <w:t>1</w:t>
            </w:r>
          </w:p>
        </w:tc>
        <w:tc>
          <w:tcPr>
            <w:tcW w:w="1074" w:type="dxa"/>
            <w:gridSpan w:val="2"/>
          </w:tcPr>
          <w:p w:rsidR="009F512E" w:rsidRDefault="000866C9" w:rsidP="000866C9">
            <w:pPr>
              <w:jc w:val="center"/>
            </w:pPr>
            <w:r>
              <w:t>1</w:t>
            </w:r>
          </w:p>
        </w:tc>
        <w:tc>
          <w:tcPr>
            <w:tcW w:w="1110" w:type="dxa"/>
          </w:tcPr>
          <w:p w:rsidR="009F512E" w:rsidRDefault="009F512E" w:rsidP="000866C9">
            <w:pPr>
              <w:jc w:val="center"/>
            </w:pPr>
          </w:p>
        </w:tc>
        <w:tc>
          <w:tcPr>
            <w:tcW w:w="1073" w:type="dxa"/>
            <w:gridSpan w:val="2"/>
          </w:tcPr>
          <w:p w:rsidR="009F512E" w:rsidRDefault="009F512E" w:rsidP="000866C9">
            <w:pPr>
              <w:jc w:val="center"/>
            </w:pPr>
          </w:p>
        </w:tc>
        <w:tc>
          <w:tcPr>
            <w:tcW w:w="1024" w:type="dxa"/>
            <w:gridSpan w:val="2"/>
          </w:tcPr>
          <w:p w:rsidR="009F512E" w:rsidRDefault="000866C9" w:rsidP="000866C9">
            <w:pPr>
              <w:jc w:val="center"/>
            </w:pPr>
            <w:r>
              <w:t>2</w:t>
            </w:r>
          </w:p>
        </w:tc>
      </w:tr>
      <w:tr w:rsidR="000866C9" w:rsidTr="000866C9">
        <w:tblPrEx>
          <w:tblCellMar>
            <w:left w:w="108" w:type="dxa"/>
            <w:right w:w="108" w:type="dxa"/>
          </w:tblCellMar>
          <w:tblLook w:val="04A0"/>
        </w:tblPrEx>
        <w:trPr>
          <w:trHeight w:val="441"/>
        </w:trPr>
        <w:tc>
          <w:tcPr>
            <w:tcW w:w="1126" w:type="dxa"/>
          </w:tcPr>
          <w:p w:rsidR="009F512E" w:rsidRPr="000866C9" w:rsidRDefault="00762ADB" w:rsidP="000866C9">
            <w:pPr>
              <w:jc w:val="center"/>
              <w:rPr>
                <w:b/>
                <w:sz w:val="18"/>
                <w:szCs w:val="18"/>
              </w:rPr>
            </w:pPr>
            <w:r w:rsidRPr="000866C9">
              <w:rPr>
                <w:b/>
                <w:sz w:val="18"/>
                <w:szCs w:val="18"/>
              </w:rPr>
              <w:t>2011</w:t>
            </w:r>
          </w:p>
        </w:tc>
        <w:tc>
          <w:tcPr>
            <w:tcW w:w="1664" w:type="dxa"/>
            <w:gridSpan w:val="2"/>
          </w:tcPr>
          <w:p w:rsidR="009F512E" w:rsidRDefault="009F512E" w:rsidP="000866C9">
            <w:pPr>
              <w:jc w:val="center"/>
            </w:pPr>
          </w:p>
        </w:tc>
        <w:tc>
          <w:tcPr>
            <w:tcW w:w="1072" w:type="dxa"/>
            <w:gridSpan w:val="2"/>
          </w:tcPr>
          <w:p w:rsidR="009F512E" w:rsidRDefault="009F512E" w:rsidP="000866C9">
            <w:pPr>
              <w:jc w:val="center"/>
            </w:pPr>
          </w:p>
        </w:tc>
        <w:tc>
          <w:tcPr>
            <w:tcW w:w="1107" w:type="dxa"/>
          </w:tcPr>
          <w:p w:rsidR="009F512E" w:rsidRDefault="009F512E" w:rsidP="000866C9">
            <w:pPr>
              <w:jc w:val="center"/>
            </w:pPr>
          </w:p>
        </w:tc>
        <w:tc>
          <w:tcPr>
            <w:tcW w:w="1074" w:type="dxa"/>
            <w:gridSpan w:val="2"/>
          </w:tcPr>
          <w:p w:rsidR="009F512E" w:rsidRDefault="000866C9" w:rsidP="000866C9">
            <w:pPr>
              <w:jc w:val="center"/>
            </w:pPr>
            <w:r>
              <w:t>1</w:t>
            </w:r>
          </w:p>
        </w:tc>
        <w:tc>
          <w:tcPr>
            <w:tcW w:w="1110" w:type="dxa"/>
          </w:tcPr>
          <w:p w:rsidR="009F512E" w:rsidRDefault="009F512E" w:rsidP="000866C9">
            <w:pPr>
              <w:jc w:val="center"/>
            </w:pPr>
          </w:p>
        </w:tc>
        <w:tc>
          <w:tcPr>
            <w:tcW w:w="1073" w:type="dxa"/>
            <w:gridSpan w:val="2"/>
          </w:tcPr>
          <w:p w:rsidR="009F512E" w:rsidRDefault="009F512E" w:rsidP="000866C9">
            <w:pPr>
              <w:jc w:val="center"/>
            </w:pPr>
          </w:p>
        </w:tc>
        <w:tc>
          <w:tcPr>
            <w:tcW w:w="1024" w:type="dxa"/>
            <w:gridSpan w:val="2"/>
          </w:tcPr>
          <w:p w:rsidR="009F512E" w:rsidRDefault="000866C9" w:rsidP="000866C9">
            <w:pPr>
              <w:jc w:val="center"/>
            </w:pPr>
            <w:r>
              <w:t>1</w:t>
            </w:r>
          </w:p>
        </w:tc>
      </w:tr>
      <w:tr w:rsidR="000866C9" w:rsidTr="000866C9">
        <w:tblPrEx>
          <w:tblCellMar>
            <w:left w:w="108" w:type="dxa"/>
            <w:right w:w="108" w:type="dxa"/>
          </w:tblCellMar>
          <w:tblLook w:val="04A0"/>
        </w:tblPrEx>
        <w:trPr>
          <w:trHeight w:val="463"/>
        </w:trPr>
        <w:tc>
          <w:tcPr>
            <w:tcW w:w="1126" w:type="dxa"/>
          </w:tcPr>
          <w:p w:rsidR="009F512E" w:rsidRPr="000866C9" w:rsidRDefault="00762ADB" w:rsidP="000866C9">
            <w:pPr>
              <w:jc w:val="center"/>
              <w:rPr>
                <w:b/>
                <w:sz w:val="18"/>
                <w:szCs w:val="18"/>
              </w:rPr>
            </w:pPr>
            <w:r w:rsidRPr="000866C9">
              <w:rPr>
                <w:b/>
                <w:sz w:val="18"/>
                <w:szCs w:val="18"/>
              </w:rPr>
              <w:t>2013</w:t>
            </w:r>
          </w:p>
        </w:tc>
        <w:tc>
          <w:tcPr>
            <w:tcW w:w="1664" w:type="dxa"/>
            <w:gridSpan w:val="2"/>
          </w:tcPr>
          <w:p w:rsidR="009F512E" w:rsidRDefault="009F512E" w:rsidP="000866C9">
            <w:pPr>
              <w:jc w:val="center"/>
            </w:pPr>
          </w:p>
        </w:tc>
        <w:tc>
          <w:tcPr>
            <w:tcW w:w="1072" w:type="dxa"/>
            <w:gridSpan w:val="2"/>
          </w:tcPr>
          <w:p w:rsidR="009F512E" w:rsidRDefault="009F512E" w:rsidP="000866C9">
            <w:pPr>
              <w:jc w:val="center"/>
            </w:pPr>
          </w:p>
        </w:tc>
        <w:tc>
          <w:tcPr>
            <w:tcW w:w="1107" w:type="dxa"/>
          </w:tcPr>
          <w:p w:rsidR="009F512E" w:rsidRDefault="000866C9" w:rsidP="000866C9">
            <w:pPr>
              <w:jc w:val="center"/>
            </w:pPr>
            <w:r>
              <w:t>2</w:t>
            </w:r>
          </w:p>
        </w:tc>
        <w:tc>
          <w:tcPr>
            <w:tcW w:w="1074" w:type="dxa"/>
            <w:gridSpan w:val="2"/>
          </w:tcPr>
          <w:p w:rsidR="009F512E" w:rsidRDefault="009F512E" w:rsidP="000866C9">
            <w:pPr>
              <w:jc w:val="center"/>
            </w:pPr>
          </w:p>
        </w:tc>
        <w:tc>
          <w:tcPr>
            <w:tcW w:w="1110" w:type="dxa"/>
          </w:tcPr>
          <w:p w:rsidR="009F512E" w:rsidRDefault="009F512E" w:rsidP="000866C9">
            <w:pPr>
              <w:jc w:val="center"/>
            </w:pPr>
          </w:p>
        </w:tc>
        <w:tc>
          <w:tcPr>
            <w:tcW w:w="1073" w:type="dxa"/>
            <w:gridSpan w:val="2"/>
          </w:tcPr>
          <w:p w:rsidR="009F512E" w:rsidRDefault="009F512E" w:rsidP="000866C9">
            <w:pPr>
              <w:jc w:val="center"/>
            </w:pPr>
          </w:p>
        </w:tc>
        <w:tc>
          <w:tcPr>
            <w:tcW w:w="1024" w:type="dxa"/>
            <w:gridSpan w:val="2"/>
          </w:tcPr>
          <w:p w:rsidR="009F512E" w:rsidRDefault="000866C9" w:rsidP="000866C9">
            <w:pPr>
              <w:jc w:val="center"/>
            </w:pPr>
            <w:r>
              <w:t>2</w:t>
            </w:r>
          </w:p>
        </w:tc>
      </w:tr>
      <w:tr w:rsidR="000866C9" w:rsidTr="000866C9">
        <w:tblPrEx>
          <w:tblCellMar>
            <w:left w:w="108" w:type="dxa"/>
            <w:right w:w="108" w:type="dxa"/>
          </w:tblCellMar>
          <w:tblLook w:val="04A0"/>
        </w:tblPrEx>
        <w:trPr>
          <w:trHeight w:val="468"/>
        </w:trPr>
        <w:tc>
          <w:tcPr>
            <w:tcW w:w="1126" w:type="dxa"/>
          </w:tcPr>
          <w:p w:rsidR="00762ADB" w:rsidRPr="000866C9" w:rsidRDefault="00762ADB" w:rsidP="000866C9">
            <w:pPr>
              <w:jc w:val="center"/>
              <w:rPr>
                <w:b/>
                <w:sz w:val="18"/>
                <w:szCs w:val="18"/>
              </w:rPr>
            </w:pPr>
            <w:r w:rsidRPr="000866C9">
              <w:rPr>
                <w:b/>
                <w:sz w:val="18"/>
                <w:szCs w:val="18"/>
              </w:rPr>
              <w:t>2014</w:t>
            </w:r>
          </w:p>
        </w:tc>
        <w:tc>
          <w:tcPr>
            <w:tcW w:w="1664" w:type="dxa"/>
            <w:gridSpan w:val="2"/>
          </w:tcPr>
          <w:p w:rsidR="00762ADB" w:rsidRDefault="00762ADB" w:rsidP="000866C9">
            <w:pPr>
              <w:jc w:val="center"/>
            </w:pPr>
          </w:p>
        </w:tc>
        <w:tc>
          <w:tcPr>
            <w:tcW w:w="1072" w:type="dxa"/>
            <w:gridSpan w:val="2"/>
          </w:tcPr>
          <w:p w:rsidR="00762ADB" w:rsidRDefault="000866C9" w:rsidP="000866C9">
            <w:pPr>
              <w:jc w:val="center"/>
            </w:pPr>
            <w:r>
              <w:t>2</w:t>
            </w:r>
          </w:p>
        </w:tc>
        <w:tc>
          <w:tcPr>
            <w:tcW w:w="1107" w:type="dxa"/>
          </w:tcPr>
          <w:p w:rsidR="00762ADB" w:rsidRDefault="00762ADB" w:rsidP="000866C9">
            <w:pPr>
              <w:jc w:val="center"/>
            </w:pPr>
          </w:p>
        </w:tc>
        <w:tc>
          <w:tcPr>
            <w:tcW w:w="1074" w:type="dxa"/>
            <w:gridSpan w:val="2"/>
          </w:tcPr>
          <w:p w:rsidR="00762ADB" w:rsidRDefault="000866C9" w:rsidP="000866C9">
            <w:pPr>
              <w:jc w:val="center"/>
            </w:pPr>
            <w:r>
              <w:t>3</w:t>
            </w:r>
          </w:p>
        </w:tc>
        <w:tc>
          <w:tcPr>
            <w:tcW w:w="1110" w:type="dxa"/>
          </w:tcPr>
          <w:p w:rsidR="00762ADB" w:rsidRDefault="000866C9" w:rsidP="000866C9">
            <w:pPr>
              <w:jc w:val="center"/>
            </w:pPr>
            <w:r>
              <w:t>1</w:t>
            </w:r>
          </w:p>
        </w:tc>
        <w:tc>
          <w:tcPr>
            <w:tcW w:w="1073" w:type="dxa"/>
            <w:gridSpan w:val="2"/>
          </w:tcPr>
          <w:p w:rsidR="00762ADB" w:rsidRDefault="00762ADB" w:rsidP="000866C9">
            <w:pPr>
              <w:jc w:val="center"/>
            </w:pPr>
          </w:p>
        </w:tc>
        <w:tc>
          <w:tcPr>
            <w:tcW w:w="1024" w:type="dxa"/>
            <w:gridSpan w:val="2"/>
          </w:tcPr>
          <w:p w:rsidR="00762ADB" w:rsidRDefault="000866C9" w:rsidP="000866C9">
            <w:pPr>
              <w:jc w:val="center"/>
            </w:pPr>
            <w:r>
              <w:t>6</w:t>
            </w:r>
          </w:p>
        </w:tc>
      </w:tr>
      <w:tr w:rsidR="000866C9" w:rsidTr="000866C9">
        <w:tblPrEx>
          <w:tblCellMar>
            <w:left w:w="108" w:type="dxa"/>
            <w:right w:w="108" w:type="dxa"/>
          </w:tblCellMar>
          <w:tblLook w:val="04A0"/>
        </w:tblPrEx>
        <w:trPr>
          <w:trHeight w:val="471"/>
        </w:trPr>
        <w:tc>
          <w:tcPr>
            <w:tcW w:w="1126" w:type="dxa"/>
          </w:tcPr>
          <w:p w:rsidR="00762ADB" w:rsidRPr="000866C9" w:rsidRDefault="00762ADB" w:rsidP="000866C9">
            <w:pPr>
              <w:jc w:val="center"/>
              <w:rPr>
                <w:b/>
                <w:sz w:val="18"/>
                <w:szCs w:val="18"/>
              </w:rPr>
            </w:pPr>
            <w:r w:rsidRPr="000866C9">
              <w:rPr>
                <w:b/>
                <w:sz w:val="18"/>
                <w:szCs w:val="18"/>
              </w:rPr>
              <w:t>2015</w:t>
            </w:r>
          </w:p>
        </w:tc>
        <w:tc>
          <w:tcPr>
            <w:tcW w:w="1664" w:type="dxa"/>
            <w:gridSpan w:val="2"/>
          </w:tcPr>
          <w:p w:rsidR="00762ADB" w:rsidRDefault="00762ADB" w:rsidP="000866C9">
            <w:pPr>
              <w:jc w:val="center"/>
            </w:pPr>
          </w:p>
        </w:tc>
        <w:tc>
          <w:tcPr>
            <w:tcW w:w="1072" w:type="dxa"/>
            <w:gridSpan w:val="2"/>
          </w:tcPr>
          <w:p w:rsidR="00762ADB" w:rsidRDefault="00762ADB" w:rsidP="000866C9">
            <w:pPr>
              <w:jc w:val="center"/>
            </w:pPr>
          </w:p>
        </w:tc>
        <w:tc>
          <w:tcPr>
            <w:tcW w:w="1107" w:type="dxa"/>
          </w:tcPr>
          <w:p w:rsidR="00762ADB" w:rsidRDefault="00762ADB" w:rsidP="000866C9">
            <w:pPr>
              <w:jc w:val="center"/>
            </w:pPr>
          </w:p>
        </w:tc>
        <w:tc>
          <w:tcPr>
            <w:tcW w:w="1074" w:type="dxa"/>
            <w:gridSpan w:val="2"/>
          </w:tcPr>
          <w:p w:rsidR="00762ADB" w:rsidRDefault="000866C9" w:rsidP="000866C9">
            <w:pPr>
              <w:jc w:val="center"/>
            </w:pPr>
            <w:r>
              <w:t>1</w:t>
            </w:r>
          </w:p>
        </w:tc>
        <w:tc>
          <w:tcPr>
            <w:tcW w:w="1110" w:type="dxa"/>
          </w:tcPr>
          <w:p w:rsidR="00762ADB" w:rsidRDefault="00762ADB" w:rsidP="000866C9">
            <w:pPr>
              <w:jc w:val="center"/>
            </w:pPr>
          </w:p>
        </w:tc>
        <w:tc>
          <w:tcPr>
            <w:tcW w:w="1073" w:type="dxa"/>
            <w:gridSpan w:val="2"/>
          </w:tcPr>
          <w:p w:rsidR="00762ADB" w:rsidRDefault="00762ADB" w:rsidP="000866C9">
            <w:pPr>
              <w:jc w:val="center"/>
            </w:pPr>
          </w:p>
        </w:tc>
        <w:tc>
          <w:tcPr>
            <w:tcW w:w="1024" w:type="dxa"/>
            <w:gridSpan w:val="2"/>
          </w:tcPr>
          <w:p w:rsidR="00762ADB" w:rsidRDefault="000866C9" w:rsidP="000866C9">
            <w:pPr>
              <w:jc w:val="center"/>
            </w:pPr>
            <w:r>
              <w:t>1</w:t>
            </w:r>
          </w:p>
        </w:tc>
      </w:tr>
      <w:tr w:rsidR="000866C9" w:rsidTr="000866C9">
        <w:tblPrEx>
          <w:tblCellMar>
            <w:left w:w="108" w:type="dxa"/>
            <w:right w:w="108" w:type="dxa"/>
          </w:tblCellMar>
          <w:tblLook w:val="04A0"/>
        </w:tblPrEx>
        <w:trPr>
          <w:trHeight w:val="462"/>
        </w:trPr>
        <w:tc>
          <w:tcPr>
            <w:tcW w:w="1126" w:type="dxa"/>
          </w:tcPr>
          <w:p w:rsidR="00762ADB" w:rsidRPr="000866C9" w:rsidRDefault="00762ADB" w:rsidP="000866C9">
            <w:pPr>
              <w:jc w:val="center"/>
              <w:rPr>
                <w:b/>
                <w:sz w:val="18"/>
                <w:szCs w:val="18"/>
              </w:rPr>
            </w:pPr>
            <w:r w:rsidRPr="000866C9">
              <w:rPr>
                <w:b/>
                <w:sz w:val="18"/>
                <w:szCs w:val="18"/>
              </w:rPr>
              <w:t>2016</w:t>
            </w:r>
          </w:p>
        </w:tc>
        <w:tc>
          <w:tcPr>
            <w:tcW w:w="1664" w:type="dxa"/>
            <w:gridSpan w:val="2"/>
          </w:tcPr>
          <w:p w:rsidR="00762ADB" w:rsidRDefault="000866C9" w:rsidP="000866C9">
            <w:pPr>
              <w:jc w:val="center"/>
            </w:pPr>
            <w:r>
              <w:t>1</w:t>
            </w:r>
          </w:p>
        </w:tc>
        <w:tc>
          <w:tcPr>
            <w:tcW w:w="1072" w:type="dxa"/>
            <w:gridSpan w:val="2"/>
          </w:tcPr>
          <w:p w:rsidR="00762ADB" w:rsidRDefault="000866C9" w:rsidP="000866C9">
            <w:pPr>
              <w:jc w:val="center"/>
            </w:pPr>
            <w:r>
              <w:t>1</w:t>
            </w:r>
          </w:p>
        </w:tc>
        <w:tc>
          <w:tcPr>
            <w:tcW w:w="1107" w:type="dxa"/>
          </w:tcPr>
          <w:p w:rsidR="00762ADB" w:rsidRDefault="00762ADB" w:rsidP="000866C9">
            <w:pPr>
              <w:jc w:val="center"/>
            </w:pPr>
          </w:p>
        </w:tc>
        <w:tc>
          <w:tcPr>
            <w:tcW w:w="1074" w:type="dxa"/>
            <w:gridSpan w:val="2"/>
          </w:tcPr>
          <w:p w:rsidR="00762ADB" w:rsidRDefault="00762ADB" w:rsidP="000866C9">
            <w:pPr>
              <w:jc w:val="center"/>
            </w:pPr>
          </w:p>
        </w:tc>
        <w:tc>
          <w:tcPr>
            <w:tcW w:w="1110" w:type="dxa"/>
          </w:tcPr>
          <w:p w:rsidR="00762ADB" w:rsidRDefault="00762ADB" w:rsidP="000866C9">
            <w:pPr>
              <w:jc w:val="center"/>
            </w:pPr>
          </w:p>
        </w:tc>
        <w:tc>
          <w:tcPr>
            <w:tcW w:w="1073" w:type="dxa"/>
            <w:gridSpan w:val="2"/>
          </w:tcPr>
          <w:p w:rsidR="00762ADB" w:rsidRDefault="00762ADB" w:rsidP="000866C9">
            <w:pPr>
              <w:jc w:val="center"/>
            </w:pPr>
          </w:p>
        </w:tc>
        <w:tc>
          <w:tcPr>
            <w:tcW w:w="1024" w:type="dxa"/>
            <w:gridSpan w:val="2"/>
          </w:tcPr>
          <w:p w:rsidR="00762ADB" w:rsidRDefault="000866C9" w:rsidP="000866C9">
            <w:pPr>
              <w:jc w:val="center"/>
            </w:pPr>
            <w:r>
              <w:t>2</w:t>
            </w:r>
          </w:p>
        </w:tc>
      </w:tr>
      <w:tr w:rsidR="000866C9" w:rsidTr="000866C9">
        <w:tblPrEx>
          <w:tblCellMar>
            <w:left w:w="108" w:type="dxa"/>
            <w:right w:w="108" w:type="dxa"/>
          </w:tblCellMar>
          <w:tblLook w:val="04A0"/>
        </w:tblPrEx>
        <w:tc>
          <w:tcPr>
            <w:tcW w:w="1126" w:type="dxa"/>
          </w:tcPr>
          <w:p w:rsidR="00762ADB" w:rsidRPr="000866C9" w:rsidRDefault="00762ADB" w:rsidP="000866C9">
            <w:pPr>
              <w:jc w:val="center"/>
              <w:rPr>
                <w:b/>
                <w:sz w:val="18"/>
                <w:szCs w:val="18"/>
              </w:rPr>
            </w:pPr>
            <w:r w:rsidRPr="000866C9">
              <w:rPr>
                <w:b/>
                <w:sz w:val="18"/>
                <w:szCs w:val="18"/>
              </w:rPr>
              <w:t>01.01.2017 ile 28.02.2017 Tarihlerinde</w:t>
            </w:r>
          </w:p>
        </w:tc>
        <w:tc>
          <w:tcPr>
            <w:tcW w:w="1664" w:type="dxa"/>
            <w:gridSpan w:val="2"/>
          </w:tcPr>
          <w:p w:rsidR="000866C9" w:rsidRDefault="000866C9" w:rsidP="000866C9">
            <w:pPr>
              <w:jc w:val="center"/>
            </w:pPr>
          </w:p>
          <w:p w:rsidR="00762ADB" w:rsidRDefault="000866C9" w:rsidP="000866C9">
            <w:pPr>
              <w:jc w:val="center"/>
            </w:pPr>
            <w:r>
              <w:t>2</w:t>
            </w:r>
          </w:p>
        </w:tc>
        <w:tc>
          <w:tcPr>
            <w:tcW w:w="1072" w:type="dxa"/>
            <w:gridSpan w:val="2"/>
          </w:tcPr>
          <w:p w:rsidR="00762ADB" w:rsidRDefault="00762ADB" w:rsidP="000866C9">
            <w:pPr>
              <w:jc w:val="center"/>
            </w:pPr>
          </w:p>
        </w:tc>
        <w:tc>
          <w:tcPr>
            <w:tcW w:w="1107" w:type="dxa"/>
          </w:tcPr>
          <w:p w:rsidR="00762ADB" w:rsidRDefault="00762ADB" w:rsidP="000866C9">
            <w:pPr>
              <w:jc w:val="center"/>
            </w:pPr>
          </w:p>
        </w:tc>
        <w:tc>
          <w:tcPr>
            <w:tcW w:w="1074" w:type="dxa"/>
            <w:gridSpan w:val="2"/>
          </w:tcPr>
          <w:p w:rsidR="00762ADB" w:rsidRDefault="00762ADB" w:rsidP="000866C9">
            <w:pPr>
              <w:jc w:val="center"/>
            </w:pPr>
          </w:p>
        </w:tc>
        <w:tc>
          <w:tcPr>
            <w:tcW w:w="1110" w:type="dxa"/>
          </w:tcPr>
          <w:p w:rsidR="00762ADB" w:rsidRDefault="00762ADB" w:rsidP="000866C9">
            <w:pPr>
              <w:jc w:val="center"/>
            </w:pPr>
          </w:p>
        </w:tc>
        <w:tc>
          <w:tcPr>
            <w:tcW w:w="1073" w:type="dxa"/>
            <w:gridSpan w:val="2"/>
          </w:tcPr>
          <w:p w:rsidR="00762ADB" w:rsidRDefault="00762ADB" w:rsidP="000866C9">
            <w:pPr>
              <w:jc w:val="center"/>
            </w:pPr>
          </w:p>
        </w:tc>
        <w:tc>
          <w:tcPr>
            <w:tcW w:w="1024" w:type="dxa"/>
            <w:gridSpan w:val="2"/>
          </w:tcPr>
          <w:p w:rsidR="000866C9" w:rsidRDefault="000866C9" w:rsidP="000866C9">
            <w:pPr>
              <w:jc w:val="center"/>
            </w:pPr>
          </w:p>
          <w:p w:rsidR="00762ADB" w:rsidRDefault="000866C9" w:rsidP="000866C9">
            <w:pPr>
              <w:jc w:val="center"/>
            </w:pPr>
            <w:r>
              <w:t>2</w:t>
            </w:r>
          </w:p>
        </w:tc>
      </w:tr>
    </w:tbl>
    <w:p w:rsidR="009F512E" w:rsidRDefault="009F512E" w:rsidP="000953A1"/>
    <w:p w:rsidR="00232BB7" w:rsidRDefault="00D84C81" w:rsidP="00D84C81">
      <w:r>
        <w:t>Çocuk</w:t>
      </w:r>
      <w:r w:rsidR="00232BB7">
        <w:t xml:space="preserve"> mahpusların ölümleri</w:t>
      </w:r>
      <w:r w:rsidR="00002AE4">
        <w:t>nin yarısının intihar olduğunun açıklanması</w:t>
      </w:r>
      <w:r w:rsidR="00232BB7">
        <w:t xml:space="preserve"> ve intihar ettiği ifade edilen çocukların yüzde 30’unun henüz tutuklu oluşu </w:t>
      </w:r>
      <w:r w:rsidR="00002AE4">
        <w:t xml:space="preserve">çocuk mahpuslar açısından bu infaz sisteminin çöktüğünün ifadesidir. </w:t>
      </w:r>
    </w:p>
    <w:p w:rsidR="00D84C81" w:rsidRDefault="000D3B5A" w:rsidP="00F65B56">
      <w:r>
        <w:t>Bu tabloda 2017 yılında gözüken 2 rakamı, Adana’daki yangında yaşamını yitiren çocukları ifade etmektedir ve “diğer ölümler” olarak kodlanmıştır. Adana’daki yangınlar gibi çocukların</w:t>
      </w:r>
      <w:r w:rsidR="00D05742">
        <w:t xml:space="preserve"> taleplerini görünür </w:t>
      </w:r>
      <w:proofErr w:type="gramStart"/>
      <w:r w:rsidR="00D05742">
        <w:t>kılmak</w:t>
      </w:r>
      <w:r>
        <w:t xml:space="preserve">  için</w:t>
      </w:r>
      <w:proofErr w:type="gramEnd"/>
      <w:r>
        <w:t xml:space="preserve"> yangın çıkardıklarını düşündüren durumların varlığına rağmen bu ölümlerin incelenmediğini görmek, kamu görevlilerinin sorumluluklarına dair soruşturma açılmaması veya “yangının çıkmasında sorumluluğu yoktur” benzeri kararlarla soruşturmaların sonuçlandırılması endişe vericidir. </w:t>
      </w:r>
    </w:p>
    <w:p w:rsidR="00F65B56" w:rsidRPr="00F65B56" w:rsidRDefault="006D6C50" w:rsidP="00F65B56">
      <w:r>
        <w:t xml:space="preserve">AİHM, </w:t>
      </w:r>
      <w:proofErr w:type="spellStart"/>
      <w:r>
        <w:t>Çoşelav</w:t>
      </w:r>
      <w:proofErr w:type="spellEnd"/>
      <w:r>
        <w:t xml:space="preserve">/Türkiye kararında, </w:t>
      </w:r>
      <w:r w:rsidR="00290488">
        <w:t>kendisine zarar vermesini önlemeye yönelik yeterli ve gerekli adımları at</w:t>
      </w:r>
      <w:r w:rsidR="00347E30">
        <w:t>ıl</w:t>
      </w:r>
      <w:r w:rsidR="00290488">
        <w:t>madığı ve yaşam hakkını korumaya yönelik yükümlülüklerini yerine getir</w:t>
      </w:r>
      <w:r w:rsidR="00347E30">
        <w:t>il</w:t>
      </w:r>
      <w:r w:rsidR="00290488">
        <w:t>mediği gerekçesiyle</w:t>
      </w:r>
      <w:r>
        <w:t>,</w:t>
      </w:r>
      <w:r w:rsidR="00F65B56" w:rsidRPr="00F65B56">
        <w:t xml:space="preserve"> 2003 yılında Kars Hapishanesi’n</w:t>
      </w:r>
      <w:r>
        <w:t>deki</w:t>
      </w:r>
      <w:r w:rsidR="00F65B56" w:rsidRPr="00F65B56">
        <w:t xml:space="preserve"> koğuşunda kendini asarak </w:t>
      </w:r>
      <w:r>
        <w:t>intihar eden</w:t>
      </w:r>
      <w:r w:rsidR="00F65B56" w:rsidRPr="00F65B56">
        <w:t xml:space="preserve"> Bilal </w:t>
      </w:r>
      <w:proofErr w:type="spellStart"/>
      <w:r w:rsidR="00F65B56" w:rsidRPr="00F65B56">
        <w:t>Çoşelav</w:t>
      </w:r>
      <w:proofErr w:type="spellEnd"/>
      <w:r w:rsidR="00F65B56" w:rsidRPr="00F65B56">
        <w:t xml:space="preserve"> isimli çoc</w:t>
      </w:r>
      <w:r w:rsidR="00E94805">
        <w:t xml:space="preserve">uğun </w:t>
      </w:r>
      <w:r>
        <w:t>yaşama hakkının i</w:t>
      </w:r>
      <w:r w:rsidR="00347E30">
        <w:t xml:space="preserve">hlal edildiğine karar vermiştir. </w:t>
      </w:r>
      <w:r w:rsidR="005E1818">
        <w:t xml:space="preserve">Kararda, </w:t>
      </w:r>
      <w:proofErr w:type="spellStart"/>
      <w:r w:rsidR="00347E30">
        <w:t>Çoşelav’ın</w:t>
      </w:r>
      <w:proofErr w:type="spellEnd"/>
      <w:r w:rsidR="00347E30">
        <w:t xml:space="preserve"> yetişkin hapishanesinde kalmasının intiharda etkisi olduğu öne sür</w:t>
      </w:r>
      <w:r w:rsidR="005E1818">
        <w:t>ül</w:t>
      </w:r>
      <w:r w:rsidR="00347E30">
        <w:t>erek uygulama eleştir</w:t>
      </w:r>
      <w:r w:rsidR="005E1818">
        <w:t>il</w:t>
      </w:r>
      <w:r w:rsidR="00347E30">
        <w:t>miştir.</w:t>
      </w:r>
    </w:p>
    <w:p w:rsidR="00291C8D" w:rsidRDefault="00347E30" w:rsidP="009F3510">
      <w:r>
        <w:t xml:space="preserve">Öte yandan </w:t>
      </w:r>
      <w:r w:rsidR="00F65B56" w:rsidRPr="00F65B56">
        <w:t>Birleşmiş Milletler Çocuk Hakları Komitesi, 2012 yılında Türkiye hakkında yayınladığı gözlem raporunda “özellikle tutukluluk yerlerinde ve genel olarak intihar ve öldürme vakalarında detaylı araştırma yürütülmesi”</w:t>
      </w:r>
      <w:r w:rsidR="00F65B56" w:rsidRPr="00F65B56">
        <w:rPr>
          <w:rStyle w:val="DipnotBavurusu"/>
        </w:rPr>
        <w:footnoteReference w:id="6"/>
      </w:r>
      <w:r w:rsidR="00F65B56" w:rsidRPr="00F65B56">
        <w:t xml:space="preserve"> konusunda tavsiyede bulunmuştur.</w:t>
      </w:r>
      <w:r w:rsidR="00F65B56">
        <w:t xml:space="preserve">   </w:t>
      </w:r>
    </w:p>
    <w:p w:rsidR="00DD1817" w:rsidRDefault="00347E30" w:rsidP="009F3510">
      <w:r>
        <w:t>Gerek kurum görevlileri ve gerekse de Adalet Bakanlığı, kapatılmış çocukların menfaatlerini gözetmekle</w:t>
      </w:r>
      <w:r w:rsidR="00900A22">
        <w:t>,</w:t>
      </w:r>
      <w:r w:rsidR="00312F96">
        <w:t xml:space="preserve"> başta </w:t>
      </w:r>
      <w:r w:rsidR="00E94805">
        <w:t>yaşam hakları olmak üzere,</w:t>
      </w:r>
      <w:r w:rsidR="00312F96">
        <w:t xml:space="preserve"> çocukları</w:t>
      </w:r>
      <w:r w:rsidR="00E94805">
        <w:t xml:space="preserve"> her türlü ihmal ve istismardan korumakla </w:t>
      </w:r>
      <w:r>
        <w:t>sorumludur</w:t>
      </w:r>
      <w:r w:rsidR="00312F96">
        <w:t>.</w:t>
      </w:r>
      <w:r w:rsidR="00A04BF2">
        <w:t xml:space="preserve"> </w:t>
      </w:r>
      <w:r w:rsidR="00A04BF2" w:rsidRPr="00A04BF2">
        <w:t>Öte yandan,</w:t>
      </w:r>
      <w:r w:rsidR="00291C8D" w:rsidRPr="00A04BF2">
        <w:t xml:space="preserve"> Adana’da gerçekleşen yangın, </w:t>
      </w:r>
      <w:proofErr w:type="spellStart"/>
      <w:r w:rsidR="00291C8D" w:rsidRPr="00A04BF2">
        <w:t>AİHM’nin</w:t>
      </w:r>
      <w:proofErr w:type="spellEnd"/>
      <w:r w:rsidR="00291C8D" w:rsidRPr="00A04BF2">
        <w:t xml:space="preserve">, </w:t>
      </w:r>
      <w:proofErr w:type="spellStart"/>
      <w:r w:rsidR="00291C8D" w:rsidRPr="00A04BF2">
        <w:t>Çoselav</w:t>
      </w:r>
      <w:proofErr w:type="spellEnd"/>
      <w:r w:rsidR="00291C8D" w:rsidRPr="00A04BF2">
        <w:t>/Türkiye kararında</w:t>
      </w:r>
      <w:r w:rsidR="005E1818">
        <w:t>ki</w:t>
      </w:r>
      <w:r w:rsidR="00291C8D" w:rsidRPr="00A04BF2">
        <w:t xml:space="preserve"> </w:t>
      </w:r>
      <w:r w:rsidR="005E1818">
        <w:t>çocukların</w:t>
      </w:r>
      <w:r w:rsidR="00291C8D" w:rsidRPr="00A04BF2">
        <w:t xml:space="preserve"> yetişkin hapishanesinde tutulmasına yönelik getirdiği eleştiriyle de benzerlikler </w:t>
      </w:r>
      <w:r w:rsidR="00291C8D" w:rsidRPr="00A04BF2">
        <w:lastRenderedPageBreak/>
        <w:t>taşım</w:t>
      </w:r>
      <w:r w:rsidR="00A04BF2" w:rsidRPr="00A04BF2">
        <w:t>aktadır.</w:t>
      </w:r>
      <w:r w:rsidR="00312F96">
        <w:t xml:space="preserve"> 3 çocuğun yaşamını yitirmesi ile sonuçlanan </w:t>
      </w:r>
      <w:r w:rsidR="00D651CD">
        <w:t>olayla ilgili</w:t>
      </w:r>
      <w:r>
        <w:t xml:space="preserve"> incelemenin</w:t>
      </w:r>
      <w:r w:rsidR="00D651CD">
        <w:t>,</w:t>
      </w:r>
      <w:r>
        <w:t xml:space="preserve"> </w:t>
      </w:r>
      <w:r w:rsidR="00312F96">
        <w:t>yangını</w:t>
      </w:r>
      <w:r>
        <w:t xml:space="preserve"> k</w:t>
      </w:r>
      <w:r w:rsidR="00C01983">
        <w:t>imin çıkardığı ile sınırlanması ve</w:t>
      </w:r>
      <w:r w:rsidR="00312F96">
        <w:t xml:space="preserve"> </w:t>
      </w:r>
      <w:r w:rsidR="00C01983">
        <w:t xml:space="preserve">olayın </w:t>
      </w:r>
      <w:r w:rsidR="00312F96">
        <w:t>sorumluluğunun bir çocuğa yüklenmesi</w:t>
      </w:r>
      <w:r w:rsidR="00596A4C">
        <w:t xml:space="preserve"> devletin bu sorumluluklarının göz ardı edildiği</w:t>
      </w:r>
      <w:r w:rsidR="003B27A4">
        <w:t xml:space="preserve"> izlenimi doğurmakta</w:t>
      </w:r>
      <w:r w:rsidR="00596A4C">
        <w:t xml:space="preserve"> ve </w:t>
      </w:r>
      <w:r w:rsidR="00C01983">
        <w:t>endişe vermektedir.</w:t>
      </w:r>
      <w:r w:rsidR="00596A4C">
        <w:t xml:space="preserve"> </w:t>
      </w:r>
      <w:r w:rsidR="00C01983">
        <w:t xml:space="preserve"> Kurum </w:t>
      </w:r>
      <w:r w:rsidR="003D7D56">
        <w:t xml:space="preserve">görevlilerinin </w:t>
      </w:r>
      <w:r w:rsidR="00C01983">
        <w:t>sorumlul</w:t>
      </w:r>
      <w:r w:rsidR="003D7D56">
        <w:t>uklarının ve</w:t>
      </w:r>
      <w:r w:rsidR="00C01983">
        <w:t xml:space="preserve"> </w:t>
      </w:r>
      <w:r w:rsidR="00596A4C">
        <w:t>ihmalinin tartışılmaması</w:t>
      </w:r>
      <w:r w:rsidR="003D7D56">
        <w:t>,</w:t>
      </w:r>
      <w:r w:rsidR="00596A4C">
        <w:t xml:space="preserve"> </w:t>
      </w:r>
      <w:r w:rsidR="00C01983">
        <w:t xml:space="preserve"> sürece ilişkin </w:t>
      </w:r>
      <w:r w:rsidR="005E1818">
        <w:t xml:space="preserve">kamuoyu ile </w:t>
      </w:r>
      <w:r w:rsidR="00C01983">
        <w:t>bilgi paylaşımında bulunulmaktan kaçınılması</w:t>
      </w:r>
      <w:r w:rsidR="003D7D56">
        <w:t xml:space="preserve"> ve yürütme, yargı organlarının</w:t>
      </w:r>
      <w:r w:rsidR="00CE717F">
        <w:t xml:space="preserve"> söz konusu</w:t>
      </w:r>
      <w:r w:rsidR="003D7D56">
        <w:t xml:space="preserve"> bu </w:t>
      </w:r>
      <w:r w:rsidR="00CE717F">
        <w:t>durumları</w:t>
      </w:r>
      <w:r w:rsidR="003D7D56">
        <w:t xml:space="preserve"> tersine çevirecek bir girişimde bulunmayışı</w:t>
      </w:r>
      <w:r w:rsidR="00C01983">
        <w:t xml:space="preserve"> bu endişeleri arttırmaktadır. </w:t>
      </w:r>
      <w:r w:rsidR="00312F96">
        <w:t>Nitekim</w:t>
      </w:r>
      <w:r w:rsidR="00900A22">
        <w:t xml:space="preserve"> </w:t>
      </w:r>
      <w:r w:rsidR="00312F96">
        <w:t>3 çocuğun yaşamını yitirdiği</w:t>
      </w:r>
      <w:r w:rsidR="00900A22">
        <w:t xml:space="preserve"> yangından kısa bir zaman sonra</w:t>
      </w:r>
      <w:r w:rsidR="00312F96">
        <w:t xml:space="preserve"> yeni bir yangının çıkarılması, </w:t>
      </w:r>
      <w:r w:rsidR="00CE717F">
        <w:t xml:space="preserve">hapishane </w:t>
      </w:r>
      <w:r w:rsidR="005E1818">
        <w:t xml:space="preserve">içinde </w:t>
      </w:r>
      <w:r w:rsidR="00312F96">
        <w:t xml:space="preserve">çocukların ihtiyaçları veya şikâyetlerinin yeterince gözetilmediğini </w:t>
      </w:r>
      <w:r w:rsidR="00900A22">
        <w:t>ve nitelikli önlemleri</w:t>
      </w:r>
      <w:r w:rsidR="00312F96">
        <w:t>n alınmadığını düşündürtmekte, hapishanelerdeki</w:t>
      </w:r>
      <w:r w:rsidR="00900A22">
        <w:t xml:space="preserve"> çocukların yaşam hakkından dolayı kaygı</w:t>
      </w:r>
      <w:r w:rsidR="007553EF">
        <w:t xml:space="preserve"> duyulmasına</w:t>
      </w:r>
      <w:r w:rsidR="000D5F4F">
        <w:t xml:space="preserve"> </w:t>
      </w:r>
      <w:r w:rsidR="00900A22">
        <w:t xml:space="preserve">neden olmaktadır.  </w:t>
      </w:r>
    </w:p>
    <w:p w:rsidR="00312F96" w:rsidRDefault="00C34923" w:rsidP="00312F96">
      <w:r>
        <w:t xml:space="preserve">Acilen Adana E Tipi </w:t>
      </w:r>
      <w:r w:rsidR="000D5F4F">
        <w:t>Kapalı</w:t>
      </w:r>
      <w:r w:rsidR="00B958DB">
        <w:t xml:space="preserve"> Ceza İnfaz Kurumu</w:t>
      </w:r>
      <w:r>
        <w:t xml:space="preserve"> başta olmak üzere, hapishanelerdeki çocuk ölümlerine ilişkin nitelikli bir ar</w:t>
      </w:r>
      <w:r w:rsidR="00312F96">
        <w:t xml:space="preserve">aştırma yapılması ve </w:t>
      </w:r>
      <w:r w:rsidR="007553EF">
        <w:t xml:space="preserve">hapishanelerin bağımsız izlemeye açılması </w:t>
      </w:r>
      <w:r w:rsidR="00312F96">
        <w:t xml:space="preserve">gerekmektedir. </w:t>
      </w:r>
      <w:r w:rsidR="00955E7A">
        <w:t xml:space="preserve">Öte yandan </w:t>
      </w:r>
      <w:r w:rsidR="000D5F4F">
        <w:t>çocuk</w:t>
      </w:r>
      <w:r w:rsidR="00501C52">
        <w:t xml:space="preserve"> hapishanelerinin </w:t>
      </w:r>
      <w:r w:rsidR="005E1818">
        <w:t xml:space="preserve">varlığının ve işleyişinin </w:t>
      </w:r>
      <w:r w:rsidR="00501C52">
        <w:t>kapsamlı bir tartışmaya muhtaç olduğu</w:t>
      </w:r>
      <w:r w:rsidR="006F51C3">
        <w:t xml:space="preserve"> açıktır</w:t>
      </w:r>
      <w:r w:rsidR="00B958DB">
        <w:t>.</w:t>
      </w:r>
    </w:p>
    <w:p w:rsidR="00C34923" w:rsidRDefault="0039098F" w:rsidP="00312F96">
      <w:r>
        <w:t>Bizler, çocuk hakları savunucuları olarak</w:t>
      </w:r>
      <w:r w:rsidR="002243F5">
        <w:t xml:space="preserve"> bu sorunları tartışabilmek için</w:t>
      </w:r>
      <w:r w:rsidR="005522C7">
        <w:t xml:space="preserve"> </w:t>
      </w:r>
      <w:r w:rsidR="00312F96">
        <w:t>Adalet Bakanlığı’nı</w:t>
      </w:r>
      <w:r w:rsidR="00A87B20">
        <w:t xml:space="preserve">, </w:t>
      </w:r>
      <w:r w:rsidR="002243F5">
        <w:t>çocuk adalet sistemi ile ilgili</w:t>
      </w:r>
      <w:r w:rsidR="00312F96">
        <w:t xml:space="preserve"> çalışan </w:t>
      </w:r>
      <w:r w:rsidR="006D0C0A">
        <w:t xml:space="preserve">sivil toplum örgütleri, </w:t>
      </w:r>
      <w:r w:rsidR="00312F96">
        <w:t>akademisyenler, meslek odaları ve bağımsız araştırmacılarla bir diyalog zemini oluşturmaya</w:t>
      </w:r>
      <w:r>
        <w:t xml:space="preserve"> çağıyor</w:t>
      </w:r>
      <w:r w:rsidR="00A87B20">
        <w:t xml:space="preserve">uz. </w:t>
      </w:r>
      <w:r w:rsidR="009942E8">
        <w:t>Adana’da çıkarılan yangınla ilgili olarak</w:t>
      </w:r>
      <w:r w:rsidR="002243F5">
        <w:t xml:space="preserve"> R.K.</w:t>
      </w:r>
      <w:r w:rsidR="009942E8">
        <w:t xml:space="preserve"> bir çocuk mahpus hakkında açılan ve 15 Haziran 2017 tarihinde Adana Ağır Ceza Mahkemesi’nde görülecek ola</w:t>
      </w:r>
      <w:r w:rsidR="001239B2">
        <w:t>n dava</w:t>
      </w:r>
      <w:r w:rsidR="00A87B20">
        <w:t xml:space="preserve">da </w:t>
      </w:r>
      <w:r>
        <w:t>mahkeme</w:t>
      </w:r>
      <w:r w:rsidR="00A87B20">
        <w:t>yi</w:t>
      </w:r>
      <w:r>
        <w:t>,</w:t>
      </w:r>
      <w:r w:rsidR="00312F96">
        <w:t xml:space="preserve"> </w:t>
      </w:r>
      <w:r w:rsidR="00A87B20">
        <w:t xml:space="preserve">Türkiye’nin taraf olduğu </w:t>
      </w:r>
      <w:r>
        <w:t>uluslararası sözleşmeler uyarınca</w:t>
      </w:r>
      <w:r w:rsidR="00A87B20">
        <w:t xml:space="preserve"> çocukların </w:t>
      </w:r>
      <w:r w:rsidR="007D7B80">
        <w:t>üstün yararını gözetmeye</w:t>
      </w:r>
      <w:r>
        <w:t xml:space="preserve"> davet ediyoruz.  </w:t>
      </w:r>
    </w:p>
    <w:p w:rsidR="00C34923" w:rsidRDefault="00C34923" w:rsidP="009F3510"/>
    <w:p w:rsidR="00D05742" w:rsidRDefault="00D05742" w:rsidP="000953A1"/>
    <w:p w:rsidR="002413A5" w:rsidRDefault="00EF15A3" w:rsidP="000953A1">
      <w:r>
        <w:t xml:space="preserve"> </w:t>
      </w:r>
      <w:r w:rsidR="00AF4409">
        <w:t xml:space="preserve">İmzacılar: </w:t>
      </w:r>
    </w:p>
    <w:p w:rsidR="008219DE" w:rsidRDefault="008219DE" w:rsidP="000953A1">
      <w:r>
        <w:t>Adana Baros</w:t>
      </w:r>
      <w:r w:rsidR="006D0505">
        <w:t xml:space="preserve">u, </w:t>
      </w:r>
      <w:r>
        <w:t>Başak Kültür ve Sanat Vakfı</w:t>
      </w:r>
      <w:r w:rsidR="006D0505">
        <w:t xml:space="preserve">, </w:t>
      </w:r>
      <w:r w:rsidR="00217A29">
        <w:t>Çocuk Vakfı</w:t>
      </w:r>
      <w:r w:rsidR="006D0505">
        <w:t xml:space="preserve">, </w:t>
      </w:r>
      <w:r>
        <w:t>Ceza İnfaz Sisteminde Sivil Toplum Derneği/Türkiye Hapishane Çalışmaları Merkezi</w:t>
      </w:r>
      <w:r w:rsidR="006D0505">
        <w:t xml:space="preserve">, </w:t>
      </w:r>
      <w:r>
        <w:t>İnsan Hakları Derneği</w:t>
      </w:r>
      <w:r w:rsidR="006D0505">
        <w:t xml:space="preserve">, </w:t>
      </w:r>
      <w:r>
        <w:t>Sağlık ve Sosyal Hizmet Emekçileri Sendikası Genel Merkezi</w:t>
      </w:r>
      <w:r w:rsidR="006D0505">
        <w:t>,</w:t>
      </w:r>
      <w:r>
        <w:t xml:space="preserve"> Toplumsal Dayanışma İçin Psikologlar Derneği</w:t>
      </w:r>
      <w:r w:rsidR="006D0505">
        <w:t>,</w:t>
      </w:r>
      <w:r>
        <w:t xml:space="preserve"> Türk Tabipler Birliği</w:t>
      </w:r>
      <w:r w:rsidR="006D0505">
        <w:t xml:space="preserve">, </w:t>
      </w:r>
      <w:r>
        <w:t>Türkiye Çocuklara Yeniden Ö</w:t>
      </w:r>
      <w:bookmarkStart w:id="0" w:name="_GoBack"/>
      <w:bookmarkEnd w:id="0"/>
      <w:r>
        <w:t>zgürlük Vakfı</w:t>
      </w:r>
      <w:r w:rsidR="006D0505">
        <w:t>,</w:t>
      </w:r>
      <w:r>
        <w:t xml:space="preserve"> Türkiye İnsan Hakları Vakfı</w:t>
      </w:r>
    </w:p>
    <w:p w:rsidR="006D0505" w:rsidRDefault="006D0505" w:rsidP="000953A1">
      <w:pPr>
        <w:rPr>
          <w:b/>
        </w:rPr>
      </w:pPr>
    </w:p>
    <w:p w:rsidR="006D0505" w:rsidRPr="006D0505" w:rsidRDefault="006D0505" w:rsidP="000953A1">
      <w:pPr>
        <w:rPr>
          <w:b/>
        </w:rPr>
      </w:pPr>
      <w:r w:rsidRPr="006D0505">
        <w:rPr>
          <w:b/>
        </w:rPr>
        <w:t xml:space="preserve">Not: </w:t>
      </w:r>
      <w:r w:rsidRPr="006D0505">
        <w:rPr>
          <w:i/>
        </w:rPr>
        <w:t xml:space="preserve">Ortak Açıklama Metni imzaya açıktır. İmzalamak isteyenlerin </w:t>
      </w:r>
      <w:hyperlink r:id="rId8" w:history="1">
        <w:r w:rsidRPr="006D0505">
          <w:rPr>
            <w:rStyle w:val="Kpr"/>
            <w:i/>
          </w:rPr>
          <w:t>hapistecocuk</w:t>
        </w:r>
        <w:r w:rsidRPr="006D0505">
          <w:rPr>
            <w:rStyle w:val="Kpr"/>
            <w:rFonts w:cs="Arial"/>
            <w:i/>
            <w:shd w:val="clear" w:color="auto" w:fill="FFFFFF"/>
          </w:rPr>
          <w:t>@tcps.org.tr</w:t>
        </w:r>
      </w:hyperlink>
      <w:r w:rsidRPr="006D0505">
        <w:rPr>
          <w:rFonts w:cs="Arial"/>
          <w:i/>
          <w:color w:val="222222"/>
          <w:shd w:val="clear" w:color="auto" w:fill="FFFFFF"/>
        </w:rPr>
        <w:t xml:space="preserve"> adresine mail atmaları rica olunur.</w:t>
      </w:r>
      <w:r w:rsidRPr="006D0505">
        <w:rPr>
          <w:rFonts w:cs="Arial"/>
          <w:b/>
          <w:color w:val="222222"/>
          <w:shd w:val="clear" w:color="auto" w:fill="FFFFFF"/>
        </w:rPr>
        <w:t xml:space="preserve"> </w:t>
      </w:r>
    </w:p>
    <w:p w:rsidR="00F33C2F" w:rsidRPr="000953A1" w:rsidRDefault="00F33C2F" w:rsidP="000953A1"/>
    <w:sectPr w:rsidR="00F33C2F" w:rsidRPr="000953A1" w:rsidSect="0070728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13" w:rsidRDefault="00876F13" w:rsidP="00EF15A3">
      <w:pPr>
        <w:spacing w:after="0" w:line="240" w:lineRule="auto"/>
      </w:pPr>
      <w:r>
        <w:separator/>
      </w:r>
    </w:p>
  </w:endnote>
  <w:endnote w:type="continuationSeparator" w:id="0">
    <w:p w:rsidR="00876F13" w:rsidRDefault="00876F13" w:rsidP="00EF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13" w:rsidRDefault="00876F13" w:rsidP="00EF15A3">
      <w:pPr>
        <w:spacing w:after="0" w:line="240" w:lineRule="auto"/>
      </w:pPr>
      <w:r>
        <w:separator/>
      </w:r>
    </w:p>
  </w:footnote>
  <w:footnote w:type="continuationSeparator" w:id="0">
    <w:p w:rsidR="00876F13" w:rsidRDefault="00876F13" w:rsidP="00EF15A3">
      <w:pPr>
        <w:spacing w:after="0" w:line="240" w:lineRule="auto"/>
      </w:pPr>
      <w:r>
        <w:continuationSeparator/>
      </w:r>
    </w:p>
  </w:footnote>
  <w:footnote w:id="1">
    <w:p w:rsidR="00A87B20" w:rsidRDefault="00A87B20">
      <w:pPr>
        <w:pStyle w:val="DipnotMetni"/>
      </w:pPr>
      <w:r>
        <w:rPr>
          <w:rStyle w:val="DipnotBavurusu"/>
        </w:rPr>
        <w:footnoteRef/>
      </w:r>
      <w:r>
        <w:t xml:space="preserve"> Adana Cumhuriyet Başsavcılığı tarafından yürütülen 2017/4824 numaralı soruşturmadır.</w:t>
      </w:r>
    </w:p>
  </w:footnote>
  <w:footnote w:id="2">
    <w:p w:rsidR="00A87B20" w:rsidRDefault="00A87B20" w:rsidP="004C11AA">
      <w:pPr>
        <w:pStyle w:val="DipnotMetni"/>
      </w:pPr>
      <w:r>
        <w:rPr>
          <w:rStyle w:val="DipnotBavurusu"/>
        </w:rPr>
        <w:footnoteRef/>
      </w:r>
      <w:r>
        <w:t xml:space="preserve"> 31.03.2017 tarihinde yapılan görüşme talebinde bulunulmuş, 14.04.2017 tarihinde bu talebin reddedildiği cevabı verilmiştir.  </w:t>
      </w:r>
    </w:p>
  </w:footnote>
  <w:footnote w:id="3">
    <w:p w:rsidR="00A87B20" w:rsidRDefault="00A87B20">
      <w:pPr>
        <w:pStyle w:val="DipnotMetni"/>
      </w:pPr>
      <w:r>
        <w:rPr>
          <w:rStyle w:val="DipnotBavurusu"/>
        </w:rPr>
        <w:footnoteRef/>
      </w:r>
      <w:r>
        <w:t xml:space="preserve"> 2017/264 sayılı Adana Cumhuriyet Başsavcılığı tarafından hazırlanan iddianamedir. </w:t>
      </w:r>
    </w:p>
  </w:footnote>
  <w:footnote w:id="4">
    <w:p w:rsidR="00A87B20" w:rsidRDefault="00A87B20">
      <w:pPr>
        <w:pStyle w:val="DipnotMetni"/>
      </w:pPr>
      <w:r>
        <w:rPr>
          <w:rStyle w:val="DipnotBavurusu"/>
        </w:rPr>
        <w:footnoteRef/>
      </w:r>
      <w:r>
        <w:t xml:space="preserve"> CHP Milletvekili Gamze Akkuş </w:t>
      </w:r>
      <w:proofErr w:type="spellStart"/>
      <w:r>
        <w:t>İlgezdi’nin</w:t>
      </w:r>
      <w:proofErr w:type="spellEnd"/>
      <w:r>
        <w:t xml:space="preserve"> Adalet Bakanlığı tarafından yanıtlanan soru önergesinde 01.01.2009-28.02.2017 tarihleri arasında 17 çocuğun hayatını kaybettiği paylaşılsa da Adana E Tipi Hapishanesi’nde 18.01.2017 tarihinde çıkan yangın nedeniyle yaralanan Mehmet Altunhan isimli çocuğun 15.03.2017 tarihinde yaşamını kaybetmesi ile bu sayı 18’e ulaşmıştır.  </w:t>
      </w:r>
    </w:p>
  </w:footnote>
  <w:footnote w:id="5">
    <w:p w:rsidR="00CE717F" w:rsidRDefault="00CE717F">
      <w:pPr>
        <w:pStyle w:val="DipnotMetni"/>
      </w:pPr>
      <w:r>
        <w:rPr>
          <w:rStyle w:val="DipnotBavurusu"/>
        </w:rPr>
        <w:footnoteRef/>
      </w:r>
      <w:r>
        <w:t xml:space="preserve"> CHP Milletvekili Gamze Akkuş </w:t>
      </w:r>
      <w:proofErr w:type="spellStart"/>
      <w:r>
        <w:t>İlgezdi’nin</w:t>
      </w:r>
      <w:proofErr w:type="spellEnd"/>
      <w:r>
        <w:t xml:space="preserve"> 17.02.2017 tarihinde yaptığı bilgi edinme başvurusunun yanıtında paylaşılmıştır. </w:t>
      </w:r>
    </w:p>
  </w:footnote>
  <w:footnote w:id="6">
    <w:p w:rsidR="00A87B20" w:rsidRDefault="00A87B20" w:rsidP="00F65B56">
      <w:pPr>
        <w:pStyle w:val="DipnotMetni"/>
      </w:pPr>
      <w:r>
        <w:rPr>
          <w:rStyle w:val="DipnotBavurusu"/>
        </w:rPr>
        <w:footnoteRef/>
      </w:r>
      <w:r>
        <w:t xml:space="preserve"> </w:t>
      </w:r>
      <w:hyperlink r:id="rId1" w:history="1">
        <w:r w:rsidRPr="00734A99">
          <w:rPr>
            <w:rStyle w:val="Kpr"/>
          </w:rPr>
          <w:t>http://www.cocukhaklariizleme.org/cocuk-haklari-komitesinin-turkiye-sonuc-gozlemleri-turkce-olarak-yayimlandi</w:t>
        </w:r>
      </w:hyperlink>
      <w:r>
        <w:t xml:space="preserve"> - Erişim Tarihi: 26.04.2017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CD3"/>
    <w:multiLevelType w:val="hybridMultilevel"/>
    <w:tmpl w:val="F3908FBC"/>
    <w:lvl w:ilvl="0" w:tplc="4608EC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53A1"/>
    <w:rsid w:val="00002AE4"/>
    <w:rsid w:val="00037BEC"/>
    <w:rsid w:val="000866C9"/>
    <w:rsid w:val="000953A1"/>
    <w:rsid w:val="000C3354"/>
    <w:rsid w:val="000D3B5A"/>
    <w:rsid w:val="000D5F4F"/>
    <w:rsid w:val="000E6866"/>
    <w:rsid w:val="001239B2"/>
    <w:rsid w:val="001244C2"/>
    <w:rsid w:val="001460F1"/>
    <w:rsid w:val="001E0DE4"/>
    <w:rsid w:val="00217A29"/>
    <w:rsid w:val="002243F5"/>
    <w:rsid w:val="00232BB7"/>
    <w:rsid w:val="002413A5"/>
    <w:rsid w:val="00290488"/>
    <w:rsid w:val="0029049E"/>
    <w:rsid w:val="00291C8D"/>
    <w:rsid w:val="00294E01"/>
    <w:rsid w:val="00296391"/>
    <w:rsid w:val="002E36BA"/>
    <w:rsid w:val="002F2469"/>
    <w:rsid w:val="00312F96"/>
    <w:rsid w:val="00347E30"/>
    <w:rsid w:val="0039098F"/>
    <w:rsid w:val="00395441"/>
    <w:rsid w:val="003B27A4"/>
    <w:rsid w:val="003C7055"/>
    <w:rsid w:val="003D7D56"/>
    <w:rsid w:val="003E6239"/>
    <w:rsid w:val="00400714"/>
    <w:rsid w:val="00401C2C"/>
    <w:rsid w:val="00436A4A"/>
    <w:rsid w:val="004526DB"/>
    <w:rsid w:val="00463E7A"/>
    <w:rsid w:val="00466EAD"/>
    <w:rsid w:val="004733E5"/>
    <w:rsid w:val="004A23C5"/>
    <w:rsid w:val="004C11AA"/>
    <w:rsid w:val="004C72D7"/>
    <w:rsid w:val="004D2BD8"/>
    <w:rsid w:val="00501C52"/>
    <w:rsid w:val="00521D96"/>
    <w:rsid w:val="0053029A"/>
    <w:rsid w:val="005373E8"/>
    <w:rsid w:val="005522C7"/>
    <w:rsid w:val="005577BB"/>
    <w:rsid w:val="00584169"/>
    <w:rsid w:val="00596A4C"/>
    <w:rsid w:val="005A2A42"/>
    <w:rsid w:val="005A734D"/>
    <w:rsid w:val="005B5DD3"/>
    <w:rsid w:val="005E1818"/>
    <w:rsid w:val="00661EF8"/>
    <w:rsid w:val="006A0EFD"/>
    <w:rsid w:val="006D0505"/>
    <w:rsid w:val="006D0C0A"/>
    <w:rsid w:val="006D488A"/>
    <w:rsid w:val="006D6C50"/>
    <w:rsid w:val="006E3A96"/>
    <w:rsid w:val="006E562D"/>
    <w:rsid w:val="006F51C3"/>
    <w:rsid w:val="00702034"/>
    <w:rsid w:val="00707281"/>
    <w:rsid w:val="0072221B"/>
    <w:rsid w:val="00726132"/>
    <w:rsid w:val="0074280E"/>
    <w:rsid w:val="007553EF"/>
    <w:rsid w:val="00762ADB"/>
    <w:rsid w:val="007729BB"/>
    <w:rsid w:val="00773E8C"/>
    <w:rsid w:val="00776C09"/>
    <w:rsid w:val="007D7B80"/>
    <w:rsid w:val="007E04EA"/>
    <w:rsid w:val="007F1666"/>
    <w:rsid w:val="00803A8D"/>
    <w:rsid w:val="0080511C"/>
    <w:rsid w:val="008219DE"/>
    <w:rsid w:val="00826927"/>
    <w:rsid w:val="00842BEE"/>
    <w:rsid w:val="00853B16"/>
    <w:rsid w:val="00876F13"/>
    <w:rsid w:val="008903A7"/>
    <w:rsid w:val="008D20CE"/>
    <w:rsid w:val="008F324B"/>
    <w:rsid w:val="008F3F2F"/>
    <w:rsid w:val="00900A22"/>
    <w:rsid w:val="00933AC7"/>
    <w:rsid w:val="00935188"/>
    <w:rsid w:val="00955E7A"/>
    <w:rsid w:val="0097483E"/>
    <w:rsid w:val="009942E8"/>
    <w:rsid w:val="00997C97"/>
    <w:rsid w:val="009A00B6"/>
    <w:rsid w:val="009A7BD7"/>
    <w:rsid w:val="009F3510"/>
    <w:rsid w:val="009F512E"/>
    <w:rsid w:val="00A04BF2"/>
    <w:rsid w:val="00A161E4"/>
    <w:rsid w:val="00A41D87"/>
    <w:rsid w:val="00A811FD"/>
    <w:rsid w:val="00A87B20"/>
    <w:rsid w:val="00AC314D"/>
    <w:rsid w:val="00AC3516"/>
    <w:rsid w:val="00AD03E2"/>
    <w:rsid w:val="00AF4409"/>
    <w:rsid w:val="00AF661E"/>
    <w:rsid w:val="00B13117"/>
    <w:rsid w:val="00B2314F"/>
    <w:rsid w:val="00B75867"/>
    <w:rsid w:val="00B958DB"/>
    <w:rsid w:val="00BB454B"/>
    <w:rsid w:val="00C01983"/>
    <w:rsid w:val="00C34923"/>
    <w:rsid w:val="00C551A8"/>
    <w:rsid w:val="00CA22DB"/>
    <w:rsid w:val="00CA456E"/>
    <w:rsid w:val="00CB23E6"/>
    <w:rsid w:val="00CC7014"/>
    <w:rsid w:val="00CD61F0"/>
    <w:rsid w:val="00CE717F"/>
    <w:rsid w:val="00D05742"/>
    <w:rsid w:val="00D14534"/>
    <w:rsid w:val="00D61BAA"/>
    <w:rsid w:val="00D651CD"/>
    <w:rsid w:val="00D84C81"/>
    <w:rsid w:val="00DD1817"/>
    <w:rsid w:val="00DD666B"/>
    <w:rsid w:val="00E04074"/>
    <w:rsid w:val="00E94805"/>
    <w:rsid w:val="00EF15A3"/>
    <w:rsid w:val="00F14B37"/>
    <w:rsid w:val="00F31227"/>
    <w:rsid w:val="00F33C2F"/>
    <w:rsid w:val="00F65B56"/>
    <w:rsid w:val="00FA3C97"/>
    <w:rsid w:val="00FF056D"/>
    <w:rsid w:val="00FF20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2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F15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15A3"/>
    <w:rPr>
      <w:sz w:val="20"/>
      <w:szCs w:val="20"/>
    </w:rPr>
  </w:style>
  <w:style w:type="character" w:styleId="DipnotBavurusu">
    <w:name w:val="footnote reference"/>
    <w:basedOn w:val="VarsaylanParagrafYazTipi"/>
    <w:uiPriority w:val="99"/>
    <w:semiHidden/>
    <w:unhideWhenUsed/>
    <w:rsid w:val="00EF15A3"/>
    <w:rPr>
      <w:vertAlign w:val="superscript"/>
    </w:rPr>
  </w:style>
  <w:style w:type="character" w:styleId="Kpr">
    <w:name w:val="Hyperlink"/>
    <w:basedOn w:val="VarsaylanParagrafYazTipi"/>
    <w:uiPriority w:val="99"/>
    <w:unhideWhenUsed/>
    <w:rsid w:val="00EF15A3"/>
    <w:rPr>
      <w:color w:val="0000FF" w:themeColor="hyperlink"/>
      <w:u w:val="single"/>
    </w:rPr>
  </w:style>
  <w:style w:type="table" w:styleId="TabloKlavuzu">
    <w:name w:val="Table Grid"/>
    <w:basedOn w:val="NormalTablo"/>
    <w:uiPriority w:val="59"/>
    <w:rsid w:val="009F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3C7055"/>
    <w:rPr>
      <w:color w:val="800080" w:themeColor="followedHyperlink"/>
      <w:u w:val="single"/>
    </w:rPr>
  </w:style>
  <w:style w:type="paragraph" w:styleId="ListeParagraf">
    <w:name w:val="List Paragraph"/>
    <w:basedOn w:val="Normal"/>
    <w:uiPriority w:val="34"/>
    <w:qFormat/>
    <w:rsid w:val="004C11AA"/>
    <w:pPr>
      <w:ind w:left="720"/>
      <w:contextualSpacing/>
    </w:pPr>
  </w:style>
  <w:style w:type="paragraph" w:styleId="BalonMetni">
    <w:name w:val="Balloon Text"/>
    <w:basedOn w:val="Normal"/>
    <w:link w:val="BalonMetniChar"/>
    <w:uiPriority w:val="99"/>
    <w:semiHidden/>
    <w:unhideWhenUsed/>
    <w:rsid w:val="009A7BD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A7BD7"/>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0E6866"/>
    <w:rPr>
      <w:sz w:val="18"/>
      <w:szCs w:val="18"/>
    </w:rPr>
  </w:style>
  <w:style w:type="paragraph" w:styleId="AklamaMetni">
    <w:name w:val="annotation text"/>
    <w:basedOn w:val="Normal"/>
    <w:link w:val="AklamaMetniChar"/>
    <w:uiPriority w:val="99"/>
    <w:semiHidden/>
    <w:unhideWhenUsed/>
    <w:rsid w:val="000E6866"/>
    <w:pPr>
      <w:spacing w:line="240" w:lineRule="auto"/>
    </w:pPr>
    <w:rPr>
      <w:sz w:val="24"/>
      <w:szCs w:val="24"/>
    </w:rPr>
  </w:style>
  <w:style w:type="character" w:customStyle="1" w:styleId="AklamaMetniChar">
    <w:name w:val="Açıklama Metni Char"/>
    <w:basedOn w:val="VarsaylanParagrafYazTipi"/>
    <w:link w:val="AklamaMetni"/>
    <w:uiPriority w:val="99"/>
    <w:semiHidden/>
    <w:rsid w:val="000E6866"/>
    <w:rPr>
      <w:sz w:val="24"/>
      <w:szCs w:val="24"/>
    </w:rPr>
  </w:style>
  <w:style w:type="paragraph" w:styleId="AklamaKonusu">
    <w:name w:val="annotation subject"/>
    <w:basedOn w:val="AklamaMetni"/>
    <w:next w:val="AklamaMetni"/>
    <w:link w:val="AklamaKonusuChar"/>
    <w:uiPriority w:val="99"/>
    <w:semiHidden/>
    <w:unhideWhenUsed/>
    <w:rsid w:val="000E6866"/>
    <w:rPr>
      <w:b/>
      <w:bCs/>
      <w:sz w:val="20"/>
      <w:szCs w:val="20"/>
    </w:rPr>
  </w:style>
  <w:style w:type="character" w:customStyle="1" w:styleId="AklamaKonusuChar">
    <w:name w:val="Açıklama Konusu Char"/>
    <w:basedOn w:val="AklamaMetniChar"/>
    <w:link w:val="AklamaKonusu"/>
    <w:uiPriority w:val="99"/>
    <w:semiHidden/>
    <w:rsid w:val="000E68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F15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15A3"/>
    <w:rPr>
      <w:sz w:val="20"/>
      <w:szCs w:val="20"/>
    </w:rPr>
  </w:style>
  <w:style w:type="character" w:styleId="DipnotBavurusu">
    <w:name w:val="footnote reference"/>
    <w:basedOn w:val="VarsaylanParagrafYazTipi"/>
    <w:uiPriority w:val="99"/>
    <w:semiHidden/>
    <w:unhideWhenUsed/>
    <w:rsid w:val="00EF15A3"/>
    <w:rPr>
      <w:vertAlign w:val="superscript"/>
    </w:rPr>
  </w:style>
  <w:style w:type="character" w:styleId="Kpr">
    <w:name w:val="Hyperlink"/>
    <w:basedOn w:val="VarsaylanParagrafYazTipi"/>
    <w:uiPriority w:val="99"/>
    <w:unhideWhenUsed/>
    <w:rsid w:val="00EF15A3"/>
    <w:rPr>
      <w:color w:val="0000FF" w:themeColor="hyperlink"/>
      <w:u w:val="single"/>
    </w:rPr>
  </w:style>
  <w:style w:type="table" w:styleId="TabloKlavuzu">
    <w:name w:val="Table Grid"/>
    <w:basedOn w:val="NormalTablo"/>
    <w:uiPriority w:val="59"/>
    <w:rsid w:val="009F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3C7055"/>
    <w:rPr>
      <w:color w:val="800080" w:themeColor="followedHyperlink"/>
      <w:u w:val="single"/>
    </w:rPr>
  </w:style>
  <w:style w:type="paragraph" w:styleId="ListeParagraf">
    <w:name w:val="List Paragraph"/>
    <w:basedOn w:val="Normal"/>
    <w:uiPriority w:val="34"/>
    <w:qFormat/>
    <w:rsid w:val="004C11AA"/>
    <w:pPr>
      <w:ind w:left="720"/>
      <w:contextualSpacing/>
    </w:pPr>
  </w:style>
  <w:style w:type="paragraph" w:styleId="BalonMetni">
    <w:name w:val="Balloon Text"/>
    <w:basedOn w:val="Normal"/>
    <w:link w:val="BalonMetniChar"/>
    <w:uiPriority w:val="99"/>
    <w:semiHidden/>
    <w:unhideWhenUsed/>
    <w:rsid w:val="009A7BD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A7BD7"/>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0E6866"/>
    <w:rPr>
      <w:sz w:val="18"/>
      <w:szCs w:val="18"/>
    </w:rPr>
  </w:style>
  <w:style w:type="paragraph" w:styleId="AklamaMetni">
    <w:name w:val="annotation text"/>
    <w:basedOn w:val="Normal"/>
    <w:link w:val="AklamaMetniChar"/>
    <w:uiPriority w:val="99"/>
    <w:semiHidden/>
    <w:unhideWhenUsed/>
    <w:rsid w:val="000E6866"/>
    <w:pPr>
      <w:spacing w:line="240" w:lineRule="auto"/>
    </w:pPr>
    <w:rPr>
      <w:sz w:val="24"/>
      <w:szCs w:val="24"/>
    </w:rPr>
  </w:style>
  <w:style w:type="character" w:customStyle="1" w:styleId="AklamaMetniChar">
    <w:name w:val="Açıklama Metni Char"/>
    <w:basedOn w:val="VarsaylanParagrafYazTipi"/>
    <w:link w:val="AklamaMetni"/>
    <w:uiPriority w:val="99"/>
    <w:semiHidden/>
    <w:rsid w:val="000E6866"/>
    <w:rPr>
      <w:sz w:val="24"/>
      <w:szCs w:val="24"/>
    </w:rPr>
  </w:style>
  <w:style w:type="paragraph" w:styleId="AklamaKonusu">
    <w:name w:val="annotation subject"/>
    <w:basedOn w:val="AklamaMetni"/>
    <w:next w:val="AklamaMetni"/>
    <w:link w:val="AklamaKonusuChar"/>
    <w:uiPriority w:val="99"/>
    <w:semiHidden/>
    <w:unhideWhenUsed/>
    <w:rsid w:val="000E6866"/>
    <w:rPr>
      <w:b/>
      <w:bCs/>
      <w:sz w:val="20"/>
      <w:szCs w:val="20"/>
    </w:rPr>
  </w:style>
  <w:style w:type="character" w:customStyle="1" w:styleId="AklamaKonusuChar">
    <w:name w:val="Açıklama Konusu Char"/>
    <w:basedOn w:val="AklamaMetniChar"/>
    <w:link w:val="AklamaKonusu"/>
    <w:uiPriority w:val="99"/>
    <w:semiHidden/>
    <w:rsid w:val="000E686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istecocuk@tcps.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cukhaklariizleme.org/cocuk-haklari-komitesinin-turkiye-sonuc-gozlemleri-turkce-olarak-yayimland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2697-364A-4FB4-A563-4BEF4E27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8153</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Yalçın</dc:creator>
  <cp:lastModifiedBy>Asm</cp:lastModifiedBy>
  <cp:revision>2</cp:revision>
  <dcterms:created xsi:type="dcterms:W3CDTF">2017-06-14T05:32:00Z</dcterms:created>
  <dcterms:modified xsi:type="dcterms:W3CDTF">2017-06-14T05:32:00Z</dcterms:modified>
</cp:coreProperties>
</file>