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24" w:rsidRDefault="008217B9" w:rsidP="008217B9">
      <w:pPr>
        <w:pStyle w:val="NormalWeb"/>
        <w:tabs>
          <w:tab w:val="left" w:pos="2268"/>
        </w:tabs>
        <w:spacing w:before="0" w:beforeAutospacing="0" w:after="0" w:afterAutospacing="0" w:line="360" w:lineRule="auto"/>
        <w:ind w:left="2265" w:hanging="2265"/>
        <w:jc w:val="center"/>
        <w:rPr>
          <w:rFonts w:ascii="Arial" w:hAnsi="Arial" w:cs="Arial"/>
          <w:b/>
          <w:sz w:val="20"/>
          <w:szCs w:val="20"/>
        </w:rPr>
      </w:pPr>
      <w:bookmarkStart w:id="0" w:name="_GoBack"/>
      <w:bookmarkEnd w:id="0"/>
      <w:r w:rsidRPr="008217B9">
        <w:rPr>
          <w:rFonts w:ascii="Arial" w:hAnsi="Arial" w:cs="Arial"/>
          <w:b/>
          <w:sz w:val="20"/>
          <w:szCs w:val="20"/>
        </w:rPr>
        <w:t xml:space="preserve">BİRLİKTE KULLANIM VE İŞBİRLİĞİNE DAİR </w:t>
      </w:r>
      <w:r w:rsidR="008B3A24">
        <w:rPr>
          <w:rFonts w:ascii="Arial" w:hAnsi="Arial" w:cs="Arial"/>
          <w:b/>
          <w:sz w:val="20"/>
          <w:szCs w:val="20"/>
        </w:rPr>
        <w:t>YÖNETMELİK HAKKINDA</w:t>
      </w:r>
    </w:p>
    <w:p w:rsidR="008217B9" w:rsidRDefault="00B95F13" w:rsidP="008217B9">
      <w:pPr>
        <w:pStyle w:val="NormalWeb"/>
        <w:tabs>
          <w:tab w:val="left" w:pos="2268"/>
        </w:tabs>
        <w:spacing w:before="0" w:beforeAutospacing="0" w:after="0" w:afterAutospacing="0" w:line="360" w:lineRule="auto"/>
        <w:ind w:left="2265" w:hanging="2265"/>
        <w:jc w:val="center"/>
        <w:rPr>
          <w:rFonts w:ascii="Arial" w:hAnsi="Arial" w:cs="Arial"/>
          <w:b/>
          <w:sz w:val="20"/>
          <w:szCs w:val="20"/>
        </w:rPr>
      </w:pPr>
      <w:r>
        <w:rPr>
          <w:rFonts w:ascii="Arial" w:hAnsi="Arial" w:cs="Arial"/>
          <w:b/>
          <w:sz w:val="20"/>
          <w:szCs w:val="20"/>
        </w:rPr>
        <w:t>YARGI KARARLARI VE SÜREÇ</w:t>
      </w:r>
    </w:p>
    <w:p w:rsidR="008217B9" w:rsidRPr="008217B9" w:rsidRDefault="008217B9" w:rsidP="008217B9">
      <w:pPr>
        <w:pStyle w:val="NormalWeb"/>
        <w:tabs>
          <w:tab w:val="left" w:pos="2268"/>
        </w:tabs>
        <w:spacing w:before="0" w:beforeAutospacing="0" w:after="0" w:afterAutospacing="0" w:line="360" w:lineRule="auto"/>
        <w:ind w:left="2265" w:hanging="2265"/>
        <w:jc w:val="center"/>
        <w:rPr>
          <w:rFonts w:ascii="Arial" w:hAnsi="Arial" w:cs="Arial"/>
          <w:b/>
          <w:sz w:val="20"/>
          <w:szCs w:val="20"/>
        </w:rPr>
      </w:pPr>
    </w:p>
    <w:p w:rsidR="003C227D" w:rsidRDefault="008B3A24" w:rsidP="00C053F8">
      <w:pPr>
        <w:ind w:left="0" w:firstLine="0"/>
        <w:rPr>
          <w:rFonts w:ascii="Arial" w:hAnsi="Arial" w:cs="Arial"/>
          <w:sz w:val="20"/>
          <w:szCs w:val="20"/>
        </w:rPr>
      </w:pPr>
      <w:r w:rsidRPr="008B3A24">
        <w:rPr>
          <w:rFonts w:ascii="Arial" w:hAnsi="Arial" w:cs="Arial"/>
          <w:b/>
          <w:sz w:val="20"/>
          <w:szCs w:val="20"/>
        </w:rPr>
        <w:t>1)</w:t>
      </w:r>
      <w:r>
        <w:rPr>
          <w:rFonts w:ascii="Arial" w:hAnsi="Arial" w:cs="Arial"/>
          <w:sz w:val="20"/>
          <w:szCs w:val="20"/>
        </w:rPr>
        <w:t xml:space="preserve"> </w:t>
      </w:r>
      <w:r w:rsidR="003C227D">
        <w:rPr>
          <w:rFonts w:ascii="Arial" w:hAnsi="Arial" w:cs="Arial"/>
          <w:sz w:val="20"/>
          <w:szCs w:val="20"/>
        </w:rPr>
        <w:t>“</w:t>
      </w:r>
      <w:r w:rsidR="00C053F8">
        <w:rPr>
          <w:rFonts w:ascii="Arial" w:hAnsi="Arial" w:cs="Arial"/>
          <w:sz w:val="20"/>
          <w:szCs w:val="20"/>
        </w:rPr>
        <w:t>Sağlık Bakanlığı ve Bağlı Kuruluşlarına Ait Sağlık Tesisleri ve Üniversitelere Ait İlgili Birimlerin Birlikte Kullanımı ve İşbirliği Usul ve Esasları Hakkında Yönetmelik</w:t>
      </w:r>
      <w:r w:rsidR="003C227D">
        <w:rPr>
          <w:rFonts w:ascii="Arial" w:hAnsi="Arial" w:cs="Arial"/>
          <w:sz w:val="20"/>
          <w:szCs w:val="20"/>
        </w:rPr>
        <w:t xml:space="preserve">” adı ile ilk düzenleme 18.02.2011 </w:t>
      </w:r>
      <w:proofErr w:type="gramStart"/>
      <w:r w:rsidR="003C227D">
        <w:rPr>
          <w:rFonts w:ascii="Arial" w:hAnsi="Arial" w:cs="Arial"/>
          <w:sz w:val="20"/>
          <w:szCs w:val="20"/>
        </w:rPr>
        <w:t>tarihinde  yürürlüğe</w:t>
      </w:r>
      <w:proofErr w:type="gramEnd"/>
      <w:r w:rsidR="003C227D">
        <w:rPr>
          <w:rFonts w:ascii="Arial" w:hAnsi="Arial" w:cs="Arial"/>
          <w:sz w:val="20"/>
          <w:szCs w:val="20"/>
        </w:rPr>
        <w:t xml:space="preserve">  girmiştir.</w:t>
      </w:r>
    </w:p>
    <w:p w:rsidR="003C227D" w:rsidRDefault="003C227D" w:rsidP="00C053F8">
      <w:pPr>
        <w:ind w:left="0" w:firstLine="0"/>
        <w:rPr>
          <w:rFonts w:ascii="Arial" w:hAnsi="Arial" w:cs="Arial"/>
          <w:sz w:val="20"/>
          <w:szCs w:val="20"/>
        </w:rPr>
      </w:pPr>
    </w:p>
    <w:p w:rsidR="003C227D" w:rsidRDefault="00B95F13" w:rsidP="00C053F8">
      <w:pPr>
        <w:ind w:left="0" w:firstLine="0"/>
        <w:rPr>
          <w:rFonts w:ascii="Arial" w:hAnsi="Arial" w:cs="Arial"/>
          <w:sz w:val="20"/>
          <w:szCs w:val="20"/>
        </w:rPr>
      </w:pPr>
      <w:r>
        <w:rPr>
          <w:rFonts w:ascii="Arial" w:hAnsi="Arial" w:cs="Arial"/>
          <w:sz w:val="20"/>
          <w:szCs w:val="20"/>
        </w:rPr>
        <w:t xml:space="preserve">Türk Tabipleri Birliği, </w:t>
      </w:r>
      <w:r w:rsidR="003C227D">
        <w:rPr>
          <w:rFonts w:ascii="Arial" w:hAnsi="Arial" w:cs="Arial"/>
          <w:sz w:val="20"/>
          <w:szCs w:val="20"/>
        </w:rPr>
        <w:t>özetle tıp ve tıpta uzmanlık eğitiminin gereklerine, eğiticiler ve akademisyenlerin özlük haklarına aykırı</w:t>
      </w:r>
      <w:r>
        <w:rPr>
          <w:rFonts w:ascii="Arial" w:hAnsi="Arial" w:cs="Arial"/>
          <w:sz w:val="20"/>
          <w:szCs w:val="20"/>
        </w:rPr>
        <w:t>, onların görüşlerini ve katılımını almaksızın hazırlanmış olması</w:t>
      </w:r>
      <w:r w:rsidR="003C227D">
        <w:rPr>
          <w:rFonts w:ascii="Arial" w:hAnsi="Arial" w:cs="Arial"/>
          <w:sz w:val="20"/>
          <w:szCs w:val="20"/>
        </w:rPr>
        <w:t xml:space="preserve"> yanı sıra, kanun ile düzenlenmesi gereken konuları Sağlık Bakanlığının yetkisine bırak</w:t>
      </w:r>
      <w:r>
        <w:rPr>
          <w:rFonts w:ascii="Arial" w:hAnsi="Arial" w:cs="Arial"/>
          <w:sz w:val="20"/>
          <w:szCs w:val="20"/>
        </w:rPr>
        <w:t>ılması nedeniyle iptal davası açmıştır. Danıştay 15. Dairesi 04.12.2013 tarihli kararı ile dava konusu Yönetmelik hükümlerini iptal etmiştir</w:t>
      </w:r>
      <w:r w:rsidRPr="009C6158">
        <w:rPr>
          <w:rFonts w:ascii="Arial" w:hAnsi="Arial" w:cs="Arial"/>
          <w:sz w:val="20"/>
          <w:szCs w:val="20"/>
        </w:rPr>
        <w:t>(</w:t>
      </w:r>
      <w:hyperlink r:id="rId6" w:history="1">
        <w:r w:rsidRPr="009C6158">
          <w:rPr>
            <w:rStyle w:val="Kpr"/>
            <w:rFonts w:ascii="Arial" w:hAnsi="Arial" w:cs="Arial"/>
            <w:sz w:val="20"/>
            <w:szCs w:val="20"/>
          </w:rPr>
          <w:t>Danıştay kararı için tıklayınız</w:t>
        </w:r>
      </w:hyperlink>
      <w:r w:rsidRPr="009C6158">
        <w:rPr>
          <w:rFonts w:ascii="Arial" w:hAnsi="Arial" w:cs="Arial"/>
          <w:sz w:val="20"/>
          <w:szCs w:val="20"/>
        </w:rPr>
        <w:t>).</w:t>
      </w:r>
      <w:r w:rsidR="003C227D">
        <w:rPr>
          <w:rFonts w:ascii="Arial" w:hAnsi="Arial" w:cs="Arial"/>
          <w:sz w:val="20"/>
          <w:szCs w:val="20"/>
        </w:rPr>
        <w:t xml:space="preserve"> </w:t>
      </w:r>
    </w:p>
    <w:p w:rsidR="003C227D" w:rsidRDefault="003C227D" w:rsidP="00C053F8">
      <w:pPr>
        <w:ind w:left="0" w:firstLine="0"/>
        <w:rPr>
          <w:rFonts w:ascii="Arial" w:hAnsi="Arial" w:cs="Arial"/>
          <w:sz w:val="20"/>
          <w:szCs w:val="20"/>
        </w:rPr>
      </w:pPr>
    </w:p>
    <w:p w:rsidR="003C227D" w:rsidRDefault="008B3A24" w:rsidP="003C227D">
      <w:pPr>
        <w:pStyle w:val="NormalWeb"/>
        <w:tabs>
          <w:tab w:val="left" w:pos="1843"/>
        </w:tabs>
        <w:spacing w:before="0" w:beforeAutospacing="0" w:after="0" w:afterAutospacing="0" w:line="360" w:lineRule="auto"/>
        <w:jc w:val="both"/>
        <w:rPr>
          <w:rFonts w:ascii="Arial" w:hAnsi="Arial" w:cs="Arial"/>
          <w:sz w:val="20"/>
          <w:szCs w:val="20"/>
        </w:rPr>
      </w:pPr>
      <w:r w:rsidRPr="008B3A24">
        <w:rPr>
          <w:rFonts w:ascii="Arial" w:eastAsia="ヒラギノ明朝 Pro W3" w:hAnsi="Arial" w:cs="Arial"/>
          <w:b/>
          <w:sz w:val="20"/>
          <w:szCs w:val="20"/>
          <w:lang w:eastAsia="en-US"/>
        </w:rPr>
        <w:t>2)</w:t>
      </w:r>
      <w:r>
        <w:rPr>
          <w:rFonts w:ascii="Arial" w:eastAsia="ヒラギノ明朝 Pro W3" w:hAnsi="Arial" w:cs="Arial"/>
          <w:sz w:val="20"/>
          <w:szCs w:val="20"/>
          <w:lang w:eastAsia="en-US"/>
        </w:rPr>
        <w:t xml:space="preserve"> </w:t>
      </w:r>
      <w:r w:rsidR="00B95F13">
        <w:rPr>
          <w:rFonts w:ascii="Arial" w:eastAsia="ヒラギノ明朝 Pro W3" w:hAnsi="Arial" w:cs="Arial"/>
          <w:sz w:val="20"/>
          <w:szCs w:val="20"/>
          <w:lang w:eastAsia="en-US"/>
        </w:rPr>
        <w:t xml:space="preserve">Sağlık Bakanlığı, belirtilen Danıştay kararı sonrasında </w:t>
      </w:r>
      <w:r w:rsidR="00B95F13">
        <w:rPr>
          <w:rFonts w:ascii="Arial" w:hAnsi="Arial" w:cs="Arial"/>
          <w:sz w:val="20"/>
          <w:szCs w:val="20"/>
        </w:rPr>
        <w:t xml:space="preserve">o tarihteki Yükseköğretim Kurulu Başkanlığı’nın görüşlerine ve bu alandaki kamu hizmetinin gereklerine aykırı bir biçimde  hazırladığı </w:t>
      </w:r>
      <w:r w:rsidR="00B95F13">
        <w:rPr>
          <w:rFonts w:ascii="Arial" w:eastAsia="ヒラギノ明朝 Pro W3" w:hAnsi="Arial" w:cs="Arial"/>
          <w:sz w:val="20"/>
          <w:szCs w:val="20"/>
          <w:lang w:eastAsia="en-US"/>
        </w:rPr>
        <w:t xml:space="preserve">“Sağlık Bakanlığı </w:t>
      </w:r>
      <w:r w:rsidR="003C227D">
        <w:rPr>
          <w:rFonts w:ascii="Arial" w:hAnsi="Arial" w:cs="Arial"/>
          <w:sz w:val="20"/>
          <w:szCs w:val="20"/>
        </w:rPr>
        <w:t>ve Bağlı Kuruluşlarına Ait Sağlık Tesisleri ve Üniversitelere Ait İlgili Birimlerin Birlikte Kullanımı ve İşbirliği Usul</w:t>
      </w:r>
      <w:r w:rsidR="00B95F13">
        <w:rPr>
          <w:rFonts w:ascii="Arial" w:hAnsi="Arial" w:cs="Arial"/>
          <w:sz w:val="20"/>
          <w:szCs w:val="20"/>
        </w:rPr>
        <w:t xml:space="preserve"> ve Esasları Hakkında Yönetmeliği” </w:t>
      </w:r>
      <w:r w:rsidR="00B95F13">
        <w:rPr>
          <w:rFonts w:ascii="Arial" w:eastAsia="ヒラギノ明朝 Pro W3" w:hAnsi="Arial" w:cs="Arial"/>
          <w:sz w:val="20"/>
          <w:szCs w:val="20"/>
          <w:lang w:eastAsia="en-US"/>
        </w:rPr>
        <w:t xml:space="preserve">3.5.2014 gün ve 28989 sayılı  Resmi Gazetede  yayınlayarak </w:t>
      </w:r>
      <w:r w:rsidR="00B95F13">
        <w:rPr>
          <w:rFonts w:ascii="Arial" w:hAnsi="Arial" w:cs="Arial"/>
          <w:sz w:val="20"/>
          <w:szCs w:val="20"/>
        </w:rPr>
        <w:t>yürürlüğe koymuştur.</w:t>
      </w:r>
    </w:p>
    <w:p w:rsidR="003C227D" w:rsidRDefault="003C227D" w:rsidP="00C053F8">
      <w:pPr>
        <w:ind w:left="0" w:firstLine="0"/>
        <w:rPr>
          <w:rFonts w:ascii="Arial" w:hAnsi="Arial" w:cs="Arial"/>
          <w:sz w:val="20"/>
          <w:szCs w:val="20"/>
        </w:rPr>
      </w:pPr>
    </w:p>
    <w:p w:rsidR="00C053F8" w:rsidRDefault="00C053F8" w:rsidP="00C053F8">
      <w:pPr>
        <w:ind w:left="0" w:firstLine="0"/>
        <w:rPr>
          <w:rStyle w:val="Kpr"/>
          <w:rFonts w:ascii="Arial" w:hAnsi="Arial" w:cs="Arial"/>
          <w:sz w:val="20"/>
          <w:szCs w:val="20"/>
        </w:rPr>
      </w:pPr>
      <w:r>
        <w:rPr>
          <w:rFonts w:ascii="Arial" w:hAnsi="Arial" w:cs="Arial"/>
          <w:sz w:val="20"/>
          <w:szCs w:val="20"/>
        </w:rPr>
        <w:t>Türk Tabipleri Birliği</w:t>
      </w:r>
      <w:r w:rsidR="00B95F13">
        <w:rPr>
          <w:rFonts w:ascii="Arial" w:hAnsi="Arial" w:cs="Arial"/>
          <w:sz w:val="20"/>
          <w:szCs w:val="20"/>
        </w:rPr>
        <w:t>, bu yönetmeliğe karşı da iptal davası açmak zorunda kalmıştır.</w:t>
      </w:r>
      <w:r>
        <w:rPr>
          <w:rFonts w:ascii="Arial" w:hAnsi="Arial" w:cs="Arial"/>
          <w:sz w:val="20"/>
          <w:szCs w:val="20"/>
        </w:rPr>
        <w:t xml:space="preserve"> </w:t>
      </w:r>
      <w:r w:rsidR="00B95F13">
        <w:rPr>
          <w:rFonts w:ascii="Arial" w:hAnsi="Arial" w:cs="Arial"/>
          <w:sz w:val="20"/>
          <w:szCs w:val="20"/>
        </w:rPr>
        <w:t xml:space="preserve">İkinci kez </w:t>
      </w:r>
      <w:r>
        <w:rPr>
          <w:rFonts w:ascii="Arial" w:hAnsi="Arial" w:cs="Arial"/>
          <w:sz w:val="20"/>
          <w:szCs w:val="20"/>
        </w:rPr>
        <w:t>Yönetmeliğe karşı açılan davada önce Danıştay 15.Dairesi iki madde hakkında yürütmeyi durdurma kararı vermişti</w:t>
      </w:r>
      <w:r w:rsidR="00B95F13">
        <w:rPr>
          <w:rFonts w:ascii="Arial" w:hAnsi="Arial" w:cs="Arial"/>
          <w:sz w:val="20"/>
          <w:szCs w:val="20"/>
        </w:rPr>
        <w:t>r</w:t>
      </w:r>
      <w:r>
        <w:rPr>
          <w:rFonts w:ascii="Arial" w:hAnsi="Arial" w:cs="Arial"/>
          <w:sz w:val="20"/>
          <w:szCs w:val="20"/>
        </w:rPr>
        <w:t>. İtirazımız üzerine Danıştay İdari Dava Daireleri Kurulu(İDDK), Yönetmeliğin bir bütün olarak yürütmesinin durdurulmasına kararı vermişti.</w:t>
      </w:r>
      <w:r w:rsidRPr="0052728D">
        <w:t xml:space="preserve"> </w:t>
      </w:r>
      <w:hyperlink r:id="rId7" w:history="1">
        <w:r w:rsidRPr="009E5E4F">
          <w:rPr>
            <w:rStyle w:val="Kpr"/>
            <w:rFonts w:ascii="Arial" w:hAnsi="Arial" w:cs="Arial"/>
            <w:sz w:val="20"/>
            <w:szCs w:val="20"/>
          </w:rPr>
          <w:t>http://www.ttb.org.tr/index.php/Haberler/hukuk-6135.html</w:t>
        </w:r>
      </w:hyperlink>
    </w:p>
    <w:p w:rsidR="00C053F8" w:rsidRDefault="00C053F8" w:rsidP="00B95F13">
      <w:pPr>
        <w:ind w:left="0" w:firstLine="0"/>
        <w:rPr>
          <w:rFonts w:ascii="Arial" w:hAnsi="Arial" w:cs="Arial"/>
          <w:sz w:val="20"/>
          <w:szCs w:val="20"/>
        </w:rPr>
      </w:pPr>
    </w:p>
    <w:p w:rsidR="008217B9" w:rsidRPr="00971CCD" w:rsidRDefault="008B3A24" w:rsidP="00B95F13">
      <w:pPr>
        <w:ind w:left="0" w:firstLine="0"/>
        <w:rPr>
          <w:rFonts w:ascii="Arial" w:hAnsi="Arial" w:cs="Arial"/>
          <w:sz w:val="20"/>
          <w:szCs w:val="20"/>
        </w:rPr>
      </w:pPr>
      <w:r w:rsidRPr="008B3A24">
        <w:rPr>
          <w:rFonts w:ascii="Arial" w:hAnsi="Arial" w:cs="Arial"/>
          <w:b/>
          <w:sz w:val="20"/>
          <w:szCs w:val="20"/>
        </w:rPr>
        <w:t>3)</w:t>
      </w:r>
      <w:r>
        <w:rPr>
          <w:rFonts w:ascii="Arial" w:hAnsi="Arial" w:cs="Arial"/>
          <w:sz w:val="20"/>
          <w:szCs w:val="20"/>
        </w:rPr>
        <w:t xml:space="preserve"> </w:t>
      </w:r>
      <w:r w:rsidR="00C053F8">
        <w:rPr>
          <w:rFonts w:ascii="Arial" w:hAnsi="Arial" w:cs="Arial"/>
          <w:sz w:val="20"/>
          <w:szCs w:val="20"/>
        </w:rPr>
        <w:t xml:space="preserve">Bu gelişmelerden sonra söz konusu Yönetmelikte bazı değişiklikler yapılarak </w:t>
      </w:r>
      <w:r w:rsidR="00B95F13">
        <w:rPr>
          <w:rFonts w:ascii="Arial" w:hAnsi="Arial" w:cs="Arial"/>
          <w:sz w:val="20"/>
          <w:szCs w:val="20"/>
        </w:rPr>
        <w:t xml:space="preserve">16.06.2016 günü yeniden düzenlenmiş </w:t>
      </w:r>
      <w:proofErr w:type="gramStart"/>
      <w:r w:rsidR="00B95F13">
        <w:rPr>
          <w:rFonts w:ascii="Arial" w:hAnsi="Arial" w:cs="Arial"/>
          <w:sz w:val="20"/>
          <w:szCs w:val="20"/>
        </w:rPr>
        <w:t>hali  Resmi</w:t>
      </w:r>
      <w:proofErr w:type="gramEnd"/>
      <w:r w:rsidR="00B95F13">
        <w:rPr>
          <w:rFonts w:ascii="Arial" w:hAnsi="Arial" w:cs="Arial"/>
          <w:sz w:val="20"/>
          <w:szCs w:val="20"/>
        </w:rPr>
        <w:t xml:space="preserve"> Gazetede yayımlanmış bir önceki Yönetmelik yürürlükten kaldırılmıştır. </w:t>
      </w:r>
      <w:r w:rsidR="00C053F8">
        <w:rPr>
          <w:rFonts w:ascii="Arial" w:hAnsi="Arial" w:cs="Arial"/>
          <w:sz w:val="20"/>
          <w:szCs w:val="20"/>
        </w:rPr>
        <w:t xml:space="preserve">Yapılan düzenleme yargı kararındaki hukuka aykırılığı gidermediği gibi Yönetmelik maddeleri </w:t>
      </w:r>
      <w:r w:rsidR="00C053F8" w:rsidRPr="00135A75">
        <w:rPr>
          <w:rFonts w:ascii="Arial" w:hAnsi="Arial" w:cs="Arial"/>
          <w:sz w:val="20"/>
          <w:szCs w:val="20"/>
        </w:rPr>
        <w:t xml:space="preserve">tıp ve tıpta uzmanlık eğitiminin ihtiyaçlarına bütünüyle aykırıdır. Akademisyenlerin, eğitim görevlilerinin ve asistanların özlük haklarını çalışma koşullarını </w:t>
      </w:r>
      <w:r w:rsidR="00C053F8">
        <w:rPr>
          <w:rFonts w:ascii="Arial" w:hAnsi="Arial" w:cs="Arial"/>
          <w:sz w:val="20"/>
          <w:szCs w:val="20"/>
        </w:rPr>
        <w:t xml:space="preserve">olumsuz etkileyen bu maddelerin iptali istenmiştir. </w:t>
      </w:r>
      <w:r w:rsidR="008217B9" w:rsidRPr="00971CCD">
        <w:rPr>
          <w:rFonts w:ascii="Arial" w:hAnsi="Arial" w:cs="Arial"/>
          <w:sz w:val="20"/>
          <w:szCs w:val="20"/>
        </w:rPr>
        <w:t>Yönetmeliğin iptali istenilen maddelerinde özetle;</w:t>
      </w:r>
    </w:p>
    <w:p w:rsidR="00C053F8" w:rsidRPr="003F2B70" w:rsidRDefault="00C053F8" w:rsidP="00C053F8">
      <w:pPr>
        <w:pStyle w:val="ListeParagraf"/>
        <w:numPr>
          <w:ilvl w:val="0"/>
          <w:numId w:val="2"/>
        </w:numPr>
        <w:spacing w:line="360" w:lineRule="auto"/>
        <w:jc w:val="both"/>
        <w:rPr>
          <w:rFonts w:ascii="Arial" w:hAnsi="Arial" w:cs="Arial"/>
          <w:b/>
          <w:sz w:val="20"/>
          <w:szCs w:val="20"/>
        </w:rPr>
      </w:pPr>
      <w:r w:rsidRPr="003F2B70">
        <w:rPr>
          <w:rFonts w:ascii="Arial" w:hAnsi="Arial" w:cs="Arial"/>
          <w:sz w:val="20"/>
          <w:szCs w:val="20"/>
        </w:rPr>
        <w:t>Danıştay 15. Dairesi</w:t>
      </w:r>
      <w:r>
        <w:rPr>
          <w:rFonts w:ascii="Arial" w:hAnsi="Arial" w:cs="Arial"/>
          <w:sz w:val="20"/>
          <w:szCs w:val="20"/>
        </w:rPr>
        <w:t xml:space="preserve">, </w:t>
      </w:r>
      <w:r w:rsidRPr="003F2B70">
        <w:rPr>
          <w:rFonts w:ascii="Arial" w:hAnsi="Arial" w:cs="Arial"/>
          <w:sz w:val="20"/>
          <w:szCs w:val="20"/>
        </w:rPr>
        <w:t xml:space="preserve"> hastane yöneticisinin almakla yetkili olduğu tedbirlerin sınırının eğitim hizmetlerinin aksatılmaması olduğu, ancak Yönetmelikte bu durumu güvence altına alan </w:t>
      </w:r>
      <w:r w:rsidRPr="00C053F8">
        <w:rPr>
          <w:rFonts w:ascii="Arial" w:hAnsi="Arial" w:cs="Arial"/>
          <w:sz w:val="20"/>
          <w:szCs w:val="20"/>
        </w:rPr>
        <w:t>düzenlemelerin bulunmadığını belirterek Yönetmeliğin 7.maddesinin 2.fıkrasını hukuka aykırı bulmuştu. Yeni Yönetmelikte hastane yöneticisinin sağlık hizmetlerini aksatmama sorumluğuna sağlık hizmetlerinin”  yanında eğitim hizmetleri de eklenmiştir. Böylece Sağlık Bakanlığı tarafından atanan hastane</w:t>
      </w:r>
      <w:r>
        <w:rPr>
          <w:rFonts w:ascii="Arial" w:hAnsi="Arial" w:cs="Arial"/>
          <w:sz w:val="20"/>
          <w:szCs w:val="20"/>
        </w:rPr>
        <w:t xml:space="preserve"> yöneticisi hem eğitim hem de sağlık hizmetlerinin aksamaması için gerekli tedbirleri almaya yetkili kılınmıştır. Bu düzenlemenin Danıştay kararında belirtilen hukuka aykırılığın giderilmesi </w:t>
      </w:r>
      <w:r w:rsidR="003B3C8F">
        <w:rPr>
          <w:rFonts w:ascii="Arial" w:hAnsi="Arial" w:cs="Arial"/>
          <w:sz w:val="20"/>
          <w:szCs w:val="20"/>
        </w:rPr>
        <w:t>ile bir ilgisi bulunmadığından iptali istenmiştir.</w:t>
      </w:r>
    </w:p>
    <w:p w:rsidR="00C053F8" w:rsidRPr="0056234E" w:rsidRDefault="00C053F8" w:rsidP="00C053F8">
      <w:pPr>
        <w:pStyle w:val="ListeParagraf"/>
        <w:numPr>
          <w:ilvl w:val="0"/>
          <w:numId w:val="2"/>
        </w:numPr>
        <w:spacing w:line="360" w:lineRule="auto"/>
        <w:jc w:val="both"/>
        <w:rPr>
          <w:rFonts w:ascii="Arial" w:hAnsi="Arial" w:cs="Arial"/>
          <w:b/>
          <w:sz w:val="20"/>
          <w:szCs w:val="20"/>
        </w:rPr>
      </w:pPr>
      <w:proofErr w:type="gramStart"/>
      <w:r w:rsidRPr="0056234E">
        <w:rPr>
          <w:rFonts w:ascii="Arial" w:hAnsi="Arial" w:cs="Arial"/>
          <w:sz w:val="20"/>
          <w:szCs w:val="20"/>
        </w:rPr>
        <w:lastRenderedPageBreak/>
        <w:t>Danıştay 15. Dairesi</w:t>
      </w:r>
      <w:r>
        <w:rPr>
          <w:rFonts w:ascii="Arial" w:hAnsi="Arial" w:cs="Arial"/>
          <w:sz w:val="20"/>
          <w:szCs w:val="20"/>
        </w:rPr>
        <w:t xml:space="preserve">, birlikte kullanılan yerlerde eğitim hizmetlerinden Anabilim ve Bilim Dalı başkanlarının sorumlu olacağı açıklıkla belirtilmesine rağmen; </w:t>
      </w:r>
      <w:r w:rsidRPr="0056234E">
        <w:rPr>
          <w:rFonts w:ascii="Arial" w:hAnsi="Arial" w:cs="Arial"/>
          <w:sz w:val="20"/>
          <w:szCs w:val="20"/>
        </w:rPr>
        <w:t xml:space="preserve">eğitim hizmetlerinin nitelikli olarak verilmesini güvence altına alacak bir biçimde eğitim hizmetleri sorumlusu ile idari sorumlunun yetki, görev ve sorumluluklarına ilişkin işleyişe açıklık getiren düzenleme olmaması nedeniyle Yönetmeliğin 8.maddesinin 1.fıkrasını hukuka aykırı bulmuştu. </w:t>
      </w:r>
      <w:proofErr w:type="gramEnd"/>
    </w:p>
    <w:p w:rsidR="003B3C8F" w:rsidRDefault="00C053F8" w:rsidP="003B3C8F">
      <w:pPr>
        <w:pStyle w:val="ListeParagraf"/>
        <w:spacing w:line="360" w:lineRule="auto"/>
        <w:jc w:val="both"/>
        <w:rPr>
          <w:rFonts w:ascii="Arial" w:hAnsi="Arial" w:cs="Arial"/>
          <w:sz w:val="20"/>
          <w:szCs w:val="20"/>
        </w:rPr>
      </w:pPr>
      <w:r w:rsidRPr="0056234E">
        <w:rPr>
          <w:rFonts w:ascii="Arial" w:hAnsi="Arial" w:cs="Arial"/>
          <w:sz w:val="20"/>
          <w:szCs w:val="20"/>
        </w:rPr>
        <w:t xml:space="preserve">Yeni </w:t>
      </w:r>
      <w:r w:rsidR="003B3C8F" w:rsidRPr="0056234E">
        <w:rPr>
          <w:rFonts w:ascii="Arial" w:hAnsi="Arial" w:cs="Arial"/>
          <w:sz w:val="20"/>
          <w:szCs w:val="20"/>
        </w:rPr>
        <w:t>Yönetmelikte Danıştay</w:t>
      </w:r>
      <w:r w:rsidRPr="003B3C8F">
        <w:rPr>
          <w:rFonts w:ascii="Arial" w:hAnsi="Arial" w:cs="Arial"/>
          <w:sz w:val="20"/>
          <w:szCs w:val="20"/>
        </w:rPr>
        <w:t xml:space="preserve"> tarafından saptanan hukuka aykırılık giderilmediği gibi Anabilim Dalı ve Bilim Dalı başkanlarının eğitim sorumlusu olduklarına dair düzenleme Yönetmelikten çıkarılmış, Sağlık Bakanlığı tarafından atanan hastane yöneticisine başhekimin de görüşünü </w:t>
      </w:r>
      <w:r w:rsidR="003B3C8F" w:rsidRPr="003B3C8F">
        <w:rPr>
          <w:rFonts w:ascii="Arial" w:hAnsi="Arial" w:cs="Arial"/>
          <w:sz w:val="20"/>
          <w:szCs w:val="20"/>
        </w:rPr>
        <w:t>alarak eğitim</w:t>
      </w:r>
      <w:r w:rsidRPr="003B3C8F">
        <w:rPr>
          <w:rFonts w:ascii="Arial" w:hAnsi="Arial" w:cs="Arial"/>
          <w:sz w:val="20"/>
          <w:szCs w:val="20"/>
        </w:rPr>
        <w:t xml:space="preserve"> sorumlusu ile bir idari sorumluyu birlikte ya da ayrı ayrı görevlendirme yetkisi verilmiştir. Yükseköğretim Kurulu’nun, Anabilim Dalı ve Bilim Dalı Akademik Kurulları ile Başkanlarına verilen yetki ve görevlerin dayanağı </w:t>
      </w:r>
      <w:proofErr w:type="gramStart"/>
      <w:r w:rsidRPr="003B3C8F">
        <w:rPr>
          <w:rFonts w:ascii="Arial" w:hAnsi="Arial" w:cs="Arial"/>
          <w:sz w:val="20"/>
          <w:szCs w:val="20"/>
        </w:rPr>
        <w:t>olan  Anayasa’nın</w:t>
      </w:r>
      <w:proofErr w:type="gramEnd"/>
      <w:r w:rsidRPr="003B3C8F">
        <w:rPr>
          <w:rFonts w:ascii="Arial" w:hAnsi="Arial" w:cs="Arial"/>
          <w:sz w:val="20"/>
          <w:szCs w:val="20"/>
        </w:rPr>
        <w:t xml:space="preserve"> 130.maddesi, 2547 sayılı Kanun ve bağlı mevzuatta belirlenen yetkileri göz </w:t>
      </w:r>
      <w:r w:rsidR="003B3C8F">
        <w:rPr>
          <w:rFonts w:ascii="Arial" w:hAnsi="Arial" w:cs="Arial"/>
          <w:sz w:val="20"/>
          <w:szCs w:val="20"/>
        </w:rPr>
        <w:t>ardı eden bu düzenlemenin de iptali istenmiştir.</w:t>
      </w:r>
    </w:p>
    <w:p w:rsidR="003B3C8F" w:rsidRDefault="003B3C8F" w:rsidP="003B3C8F">
      <w:pPr>
        <w:pStyle w:val="ListeParagraf"/>
        <w:spacing w:line="360" w:lineRule="auto"/>
        <w:jc w:val="both"/>
        <w:rPr>
          <w:rFonts w:ascii="Arial" w:hAnsi="Arial" w:cs="Arial"/>
          <w:sz w:val="20"/>
          <w:szCs w:val="20"/>
        </w:rPr>
      </w:pPr>
    </w:p>
    <w:p w:rsidR="00C053F8" w:rsidRDefault="003B3C8F" w:rsidP="003B3C8F">
      <w:pPr>
        <w:pStyle w:val="ListeParagraf"/>
        <w:spacing w:line="360" w:lineRule="auto"/>
        <w:jc w:val="both"/>
        <w:rPr>
          <w:rFonts w:ascii="Arial" w:hAnsi="Arial" w:cs="Arial"/>
          <w:sz w:val="20"/>
          <w:szCs w:val="20"/>
        </w:rPr>
      </w:pPr>
      <w:r>
        <w:rPr>
          <w:rFonts w:ascii="Arial" w:hAnsi="Arial" w:cs="Arial"/>
          <w:sz w:val="20"/>
          <w:szCs w:val="20"/>
        </w:rPr>
        <w:t xml:space="preserve">Yargı kararına aykırı bu düzenlemelerin </w:t>
      </w:r>
      <w:proofErr w:type="spellStart"/>
      <w:r>
        <w:rPr>
          <w:rFonts w:ascii="Arial" w:hAnsi="Arial" w:cs="Arial"/>
          <w:sz w:val="20"/>
          <w:szCs w:val="20"/>
        </w:rPr>
        <w:t>yanısıra</w:t>
      </w:r>
      <w:proofErr w:type="spellEnd"/>
      <w:r>
        <w:rPr>
          <w:rFonts w:ascii="Arial" w:hAnsi="Arial" w:cs="Arial"/>
          <w:sz w:val="20"/>
          <w:szCs w:val="20"/>
        </w:rPr>
        <w:t xml:space="preserve"> </w:t>
      </w:r>
    </w:p>
    <w:p w:rsidR="008217B9" w:rsidRPr="00297523" w:rsidRDefault="008217B9" w:rsidP="008217B9">
      <w:pPr>
        <w:pStyle w:val="NormalWeb"/>
        <w:numPr>
          <w:ilvl w:val="0"/>
          <w:numId w:val="1"/>
        </w:numPr>
        <w:tabs>
          <w:tab w:val="left" w:pos="709"/>
        </w:tabs>
        <w:spacing w:before="0" w:beforeAutospacing="0" w:after="0" w:afterAutospacing="0" w:line="360" w:lineRule="auto"/>
        <w:ind w:left="709" w:hanging="283"/>
        <w:jc w:val="both"/>
        <w:rPr>
          <w:rFonts w:ascii="Arial" w:hAnsi="Arial" w:cs="Arial"/>
          <w:sz w:val="20"/>
          <w:szCs w:val="20"/>
        </w:rPr>
      </w:pPr>
      <w:r w:rsidRPr="00971CCD">
        <w:rPr>
          <w:rFonts w:ascii="Arial" w:hAnsi="Arial" w:cs="Arial"/>
          <w:sz w:val="20"/>
          <w:szCs w:val="20"/>
        </w:rPr>
        <w:t xml:space="preserve">Nüfusu 750 bine kadar olan illerde </w:t>
      </w:r>
      <w:r w:rsidRPr="00297523">
        <w:rPr>
          <w:rFonts w:ascii="Arial" w:hAnsi="Arial" w:cs="Arial"/>
          <w:sz w:val="20"/>
          <w:szCs w:val="20"/>
        </w:rPr>
        <w:t>Bakanlık ve Üniversitenin tıp eğitimi ve tıpta uzmanlık eğitim</w:t>
      </w:r>
      <w:r>
        <w:rPr>
          <w:rFonts w:ascii="Arial" w:hAnsi="Arial" w:cs="Arial"/>
          <w:sz w:val="20"/>
          <w:szCs w:val="20"/>
        </w:rPr>
        <w:t>i için ortak kullanıma gidilmesi</w:t>
      </w:r>
      <w:r w:rsidR="003B3C8F">
        <w:rPr>
          <w:rFonts w:ascii="Arial" w:hAnsi="Arial" w:cs="Arial"/>
          <w:sz w:val="20"/>
          <w:szCs w:val="20"/>
        </w:rPr>
        <w:t>nin zorunlu kılınmasının,</w:t>
      </w:r>
      <w:r w:rsidRPr="00297523">
        <w:rPr>
          <w:rFonts w:ascii="Arial" w:hAnsi="Arial" w:cs="Arial"/>
          <w:sz w:val="20"/>
          <w:szCs w:val="20"/>
        </w:rPr>
        <w:tab/>
      </w:r>
    </w:p>
    <w:p w:rsidR="008217B9" w:rsidRPr="00971CCD" w:rsidRDefault="008217B9" w:rsidP="008217B9">
      <w:pPr>
        <w:pStyle w:val="NormalWeb"/>
        <w:numPr>
          <w:ilvl w:val="0"/>
          <w:numId w:val="1"/>
        </w:numPr>
        <w:tabs>
          <w:tab w:val="left" w:pos="709"/>
        </w:tabs>
        <w:spacing w:before="0" w:beforeAutospacing="0" w:after="0" w:afterAutospacing="0" w:line="360" w:lineRule="auto"/>
        <w:ind w:left="709" w:hanging="283"/>
        <w:jc w:val="both"/>
        <w:rPr>
          <w:rFonts w:ascii="Arial" w:hAnsi="Arial" w:cs="Arial"/>
          <w:sz w:val="20"/>
          <w:szCs w:val="20"/>
        </w:rPr>
      </w:pPr>
      <w:r w:rsidRPr="00971CCD">
        <w:rPr>
          <w:rFonts w:ascii="Arial" w:hAnsi="Arial" w:cs="Arial"/>
          <w:sz w:val="20"/>
          <w:szCs w:val="20"/>
        </w:rPr>
        <w:t>Yine bu illerde üniversitelerin sağlık uygulama ve araştırma merkezi aç</w:t>
      </w:r>
      <w:r w:rsidR="003B3C8F">
        <w:rPr>
          <w:rFonts w:ascii="Arial" w:hAnsi="Arial" w:cs="Arial"/>
          <w:sz w:val="20"/>
          <w:szCs w:val="20"/>
        </w:rPr>
        <w:t>ıl</w:t>
      </w:r>
      <w:r w:rsidRPr="00971CCD">
        <w:rPr>
          <w:rFonts w:ascii="Arial" w:hAnsi="Arial" w:cs="Arial"/>
          <w:sz w:val="20"/>
          <w:szCs w:val="20"/>
        </w:rPr>
        <w:t>abilmesi</w:t>
      </w:r>
      <w:r w:rsidR="003B3C8F">
        <w:rPr>
          <w:rFonts w:ascii="Arial" w:hAnsi="Arial" w:cs="Arial"/>
          <w:sz w:val="20"/>
          <w:szCs w:val="20"/>
        </w:rPr>
        <w:t xml:space="preserve"> için</w:t>
      </w:r>
      <w:r w:rsidRPr="00971CCD">
        <w:rPr>
          <w:rFonts w:ascii="Arial" w:hAnsi="Arial" w:cs="Arial"/>
          <w:sz w:val="20"/>
          <w:szCs w:val="20"/>
        </w:rPr>
        <w:t xml:space="preserve"> Sağlık Bakanlığ</w:t>
      </w:r>
      <w:r w:rsidR="003B3C8F">
        <w:rPr>
          <w:rFonts w:ascii="Arial" w:hAnsi="Arial" w:cs="Arial"/>
          <w:sz w:val="20"/>
          <w:szCs w:val="20"/>
        </w:rPr>
        <w:t>ı’nın uygun bulmasına bağlanmasının,</w:t>
      </w:r>
    </w:p>
    <w:p w:rsidR="008217B9" w:rsidRPr="003B3C8F" w:rsidRDefault="008217B9" w:rsidP="003B3C8F">
      <w:pPr>
        <w:pStyle w:val="NormalWeb"/>
        <w:numPr>
          <w:ilvl w:val="0"/>
          <w:numId w:val="1"/>
        </w:numPr>
        <w:tabs>
          <w:tab w:val="left" w:pos="709"/>
        </w:tabs>
        <w:spacing w:before="0" w:beforeAutospacing="0" w:after="0" w:afterAutospacing="0" w:line="360" w:lineRule="auto"/>
        <w:ind w:left="709" w:hanging="283"/>
        <w:jc w:val="both"/>
        <w:rPr>
          <w:rFonts w:ascii="Arial" w:hAnsi="Arial" w:cs="Arial"/>
          <w:sz w:val="20"/>
          <w:szCs w:val="20"/>
        </w:rPr>
      </w:pPr>
      <w:r w:rsidRPr="00971CCD">
        <w:rPr>
          <w:rFonts w:ascii="Arial" w:hAnsi="Arial" w:cs="Arial"/>
          <w:sz w:val="20"/>
          <w:szCs w:val="20"/>
        </w:rPr>
        <w:t xml:space="preserve">İşbirliği ve birlikte kullanımda insan gücü ve diğer tüm kaynakların </w:t>
      </w:r>
      <w:r w:rsidRPr="00915FE6">
        <w:rPr>
          <w:rFonts w:ascii="Arial" w:hAnsi="Arial" w:cs="Arial"/>
          <w:sz w:val="20"/>
          <w:szCs w:val="20"/>
        </w:rPr>
        <w:t>kullanımında Vali ile rektör</w:t>
      </w:r>
      <w:r w:rsidR="003B3C8F">
        <w:rPr>
          <w:rFonts w:ascii="Arial" w:hAnsi="Arial" w:cs="Arial"/>
          <w:sz w:val="20"/>
          <w:szCs w:val="20"/>
        </w:rPr>
        <w:t>ün</w:t>
      </w:r>
      <w:r w:rsidRPr="00915FE6">
        <w:rPr>
          <w:rFonts w:ascii="Arial" w:hAnsi="Arial" w:cs="Arial"/>
          <w:sz w:val="20"/>
          <w:szCs w:val="20"/>
        </w:rPr>
        <w:t xml:space="preserve"> yetkili</w:t>
      </w:r>
      <w:r w:rsidR="003B3C8F">
        <w:rPr>
          <w:rFonts w:ascii="Arial" w:hAnsi="Arial" w:cs="Arial"/>
          <w:sz w:val="20"/>
          <w:szCs w:val="20"/>
        </w:rPr>
        <w:t xml:space="preserve"> kılınmasının,</w:t>
      </w:r>
    </w:p>
    <w:p w:rsidR="008217B9" w:rsidRPr="00915FE6" w:rsidRDefault="008217B9" w:rsidP="008217B9">
      <w:pPr>
        <w:pStyle w:val="NormalWeb"/>
        <w:numPr>
          <w:ilvl w:val="0"/>
          <w:numId w:val="1"/>
        </w:numPr>
        <w:tabs>
          <w:tab w:val="left" w:pos="709"/>
        </w:tabs>
        <w:spacing w:before="0" w:beforeAutospacing="0" w:after="0" w:afterAutospacing="0" w:line="360" w:lineRule="auto"/>
        <w:ind w:left="709" w:hanging="283"/>
        <w:jc w:val="both"/>
        <w:rPr>
          <w:rFonts w:ascii="Arial" w:hAnsi="Arial" w:cs="Arial"/>
          <w:sz w:val="20"/>
          <w:szCs w:val="20"/>
        </w:rPr>
      </w:pPr>
      <w:r w:rsidRPr="00915FE6">
        <w:rPr>
          <w:rFonts w:ascii="Arial" w:hAnsi="Arial" w:cs="Arial"/>
          <w:sz w:val="20"/>
          <w:szCs w:val="20"/>
        </w:rPr>
        <w:t>Birlikte kullanımdaki üniversite</w:t>
      </w:r>
      <w:r w:rsidRPr="004E283E">
        <w:rPr>
          <w:rFonts w:ascii="Arial" w:hAnsi="Arial" w:cs="Arial"/>
          <w:sz w:val="20"/>
          <w:szCs w:val="20"/>
        </w:rPr>
        <w:t xml:space="preserve"> sağlık uygulama ve araştırma merkezlerinde Türkiye Kamu </w:t>
      </w:r>
      <w:r w:rsidRPr="00915FE6">
        <w:rPr>
          <w:rFonts w:ascii="Arial" w:hAnsi="Arial" w:cs="Arial"/>
          <w:sz w:val="20"/>
          <w:szCs w:val="20"/>
        </w:rPr>
        <w:t>Hastaneleri Kurumuna Bağlı Sağlık Tesislerinde Görevli Personele Ek Ödeme Yapılmasına</w:t>
      </w:r>
      <w:r w:rsidR="003B3C8F">
        <w:rPr>
          <w:rFonts w:ascii="Arial" w:hAnsi="Arial" w:cs="Arial"/>
          <w:sz w:val="20"/>
          <w:szCs w:val="20"/>
        </w:rPr>
        <w:t xml:space="preserve"> Dair Yönetmeliğin uygulanacağının düzenlenmesinin</w:t>
      </w:r>
      <w:r w:rsidR="00C35469">
        <w:rPr>
          <w:rFonts w:ascii="Arial" w:hAnsi="Arial" w:cs="Arial"/>
          <w:sz w:val="20"/>
          <w:szCs w:val="20"/>
        </w:rPr>
        <w:t>,</w:t>
      </w:r>
    </w:p>
    <w:p w:rsidR="008217B9" w:rsidRPr="00915FE6" w:rsidRDefault="008217B9" w:rsidP="008217B9">
      <w:pPr>
        <w:pStyle w:val="NormalWeb"/>
        <w:numPr>
          <w:ilvl w:val="0"/>
          <w:numId w:val="1"/>
        </w:numPr>
        <w:tabs>
          <w:tab w:val="left" w:pos="709"/>
        </w:tabs>
        <w:spacing w:before="0" w:beforeAutospacing="0" w:after="0" w:afterAutospacing="0" w:line="360" w:lineRule="auto"/>
        <w:ind w:left="709" w:hanging="283"/>
        <w:jc w:val="both"/>
        <w:rPr>
          <w:rFonts w:ascii="Arial" w:hAnsi="Arial" w:cs="Arial"/>
          <w:sz w:val="20"/>
          <w:szCs w:val="20"/>
        </w:rPr>
      </w:pPr>
      <w:r w:rsidRPr="00915FE6">
        <w:rPr>
          <w:rFonts w:ascii="Arial" w:hAnsi="Arial" w:cs="Arial"/>
          <w:sz w:val="20"/>
          <w:szCs w:val="20"/>
        </w:rPr>
        <w:t xml:space="preserve">Birlikte kullanım protokolü yapılan üniversite sağlık birimlerinin Sosyal Güvenlik Kurumu’ndan alacağı hizmet bedellerinin Sağlık Bakanlığı’na </w:t>
      </w:r>
      <w:r w:rsidR="00C35469">
        <w:rPr>
          <w:rFonts w:ascii="Arial" w:hAnsi="Arial" w:cs="Arial"/>
          <w:sz w:val="20"/>
          <w:szCs w:val="20"/>
        </w:rPr>
        <w:t>ödenmesinin,</w:t>
      </w:r>
      <w:r w:rsidRPr="00915FE6">
        <w:rPr>
          <w:rFonts w:ascii="Arial" w:hAnsi="Arial" w:cs="Arial"/>
          <w:sz w:val="20"/>
          <w:szCs w:val="20"/>
        </w:rPr>
        <w:t xml:space="preserve"> </w:t>
      </w:r>
    </w:p>
    <w:p w:rsidR="008217B9" w:rsidRDefault="008217B9" w:rsidP="008217B9">
      <w:pPr>
        <w:pStyle w:val="NormalWeb"/>
        <w:numPr>
          <w:ilvl w:val="0"/>
          <w:numId w:val="1"/>
        </w:numPr>
        <w:tabs>
          <w:tab w:val="left" w:pos="709"/>
        </w:tabs>
        <w:spacing w:before="0" w:beforeAutospacing="0" w:after="0" w:afterAutospacing="0" w:line="360" w:lineRule="auto"/>
        <w:ind w:left="709" w:hanging="283"/>
        <w:jc w:val="both"/>
        <w:rPr>
          <w:rFonts w:ascii="Arial" w:hAnsi="Arial" w:cs="Arial"/>
          <w:sz w:val="20"/>
          <w:szCs w:val="20"/>
        </w:rPr>
      </w:pPr>
      <w:r w:rsidRPr="00915FE6">
        <w:rPr>
          <w:rFonts w:ascii="Arial" w:hAnsi="Arial" w:cs="Arial"/>
          <w:sz w:val="20"/>
          <w:szCs w:val="20"/>
        </w:rPr>
        <w:t>Birlikte kullanımdaki sağlık tesislerinde eğitim klinikleri tam olarak işlerlik kazanıncaya kadar “doğrudan gelir getirici faaliyeti olmayan” öğretim üye</w:t>
      </w:r>
      <w:r w:rsidR="00C35469">
        <w:rPr>
          <w:rFonts w:ascii="Arial" w:hAnsi="Arial" w:cs="Arial"/>
          <w:sz w:val="20"/>
          <w:szCs w:val="20"/>
        </w:rPr>
        <w:t xml:space="preserve">lerinin kadro unvan katsayılarının </w:t>
      </w:r>
      <w:r w:rsidRPr="00915FE6">
        <w:rPr>
          <w:rFonts w:ascii="Arial" w:hAnsi="Arial" w:cs="Arial"/>
          <w:sz w:val="20"/>
          <w:szCs w:val="20"/>
        </w:rPr>
        <w:t>meslektaşlarına göre yarı oranda belirlenm</w:t>
      </w:r>
      <w:r w:rsidR="00C35469">
        <w:rPr>
          <w:rFonts w:ascii="Arial" w:hAnsi="Arial" w:cs="Arial"/>
          <w:sz w:val="20"/>
          <w:szCs w:val="20"/>
        </w:rPr>
        <w:t>esinin,</w:t>
      </w:r>
    </w:p>
    <w:p w:rsidR="008217B9" w:rsidRDefault="008217B9" w:rsidP="008217B9">
      <w:pPr>
        <w:pStyle w:val="NormalWeb"/>
        <w:numPr>
          <w:ilvl w:val="0"/>
          <w:numId w:val="1"/>
        </w:numPr>
        <w:tabs>
          <w:tab w:val="left" w:pos="709"/>
        </w:tabs>
        <w:spacing w:before="0" w:beforeAutospacing="0" w:after="0" w:afterAutospacing="0" w:line="360" w:lineRule="auto"/>
        <w:ind w:left="709" w:hanging="283"/>
        <w:jc w:val="both"/>
        <w:rPr>
          <w:rFonts w:ascii="Arial" w:hAnsi="Arial" w:cs="Arial"/>
          <w:sz w:val="20"/>
          <w:szCs w:val="20"/>
        </w:rPr>
      </w:pPr>
      <w:r w:rsidRPr="00915FE6">
        <w:rPr>
          <w:rFonts w:ascii="Arial" w:hAnsi="Arial" w:cs="Arial"/>
          <w:sz w:val="20"/>
          <w:szCs w:val="20"/>
        </w:rPr>
        <w:t>Nüfusu 750.000’in</w:t>
      </w:r>
      <w:r>
        <w:rPr>
          <w:rFonts w:ascii="Arial" w:hAnsi="Arial" w:cs="Arial"/>
          <w:sz w:val="20"/>
          <w:szCs w:val="20"/>
        </w:rPr>
        <w:t>in üzerinde olan illerde ise iş</w:t>
      </w:r>
      <w:r w:rsidRPr="00915FE6">
        <w:rPr>
          <w:rFonts w:ascii="Arial" w:hAnsi="Arial" w:cs="Arial"/>
          <w:sz w:val="20"/>
          <w:szCs w:val="20"/>
        </w:rPr>
        <w:t>birliğine ilişkin usul ve esasların neler olduğu ve uygulamanın na</w:t>
      </w:r>
      <w:r w:rsidR="00C35469">
        <w:rPr>
          <w:rFonts w:ascii="Arial" w:hAnsi="Arial" w:cs="Arial"/>
          <w:sz w:val="20"/>
          <w:szCs w:val="20"/>
        </w:rPr>
        <w:t>sıl yapılacağının gösterilmemesinin iptali istenmiştir.</w:t>
      </w:r>
    </w:p>
    <w:p w:rsidR="008217B9" w:rsidRDefault="008217B9" w:rsidP="008217B9">
      <w:pPr>
        <w:pStyle w:val="NormalWeb"/>
        <w:tabs>
          <w:tab w:val="left" w:pos="709"/>
        </w:tabs>
        <w:spacing w:before="0" w:beforeAutospacing="0" w:after="0" w:afterAutospacing="0" w:line="360" w:lineRule="auto"/>
        <w:jc w:val="both"/>
        <w:rPr>
          <w:rFonts w:ascii="Arial" w:hAnsi="Arial" w:cs="Arial"/>
          <w:sz w:val="20"/>
          <w:szCs w:val="20"/>
        </w:rPr>
      </w:pPr>
    </w:p>
    <w:p w:rsidR="008217B9" w:rsidRDefault="008217B9" w:rsidP="008217B9">
      <w:pPr>
        <w:pStyle w:val="NormalWeb"/>
        <w:tabs>
          <w:tab w:val="left" w:pos="709"/>
        </w:tabs>
        <w:spacing w:before="0" w:beforeAutospacing="0" w:after="0" w:afterAutospacing="0" w:line="360" w:lineRule="auto"/>
        <w:jc w:val="both"/>
        <w:rPr>
          <w:rFonts w:ascii="Arial" w:hAnsi="Arial" w:cs="Arial"/>
          <w:sz w:val="20"/>
          <w:szCs w:val="20"/>
        </w:rPr>
      </w:pPr>
      <w:r>
        <w:rPr>
          <w:rFonts w:ascii="Arial" w:hAnsi="Arial" w:cs="Arial"/>
          <w:sz w:val="20"/>
          <w:szCs w:val="20"/>
        </w:rPr>
        <w:t>Dosyada yürütmeyi durdurma istemi henüz görüşülmemiştir.</w:t>
      </w:r>
    </w:p>
    <w:p w:rsidR="008217B9" w:rsidRDefault="008217B9" w:rsidP="008217B9">
      <w:pPr>
        <w:pStyle w:val="NormalWeb"/>
        <w:tabs>
          <w:tab w:val="left" w:pos="709"/>
        </w:tabs>
        <w:spacing w:before="0" w:beforeAutospacing="0" w:after="0" w:afterAutospacing="0" w:line="360" w:lineRule="auto"/>
        <w:jc w:val="both"/>
        <w:rPr>
          <w:rFonts w:ascii="Arial" w:hAnsi="Arial" w:cs="Arial"/>
          <w:sz w:val="20"/>
          <w:szCs w:val="20"/>
        </w:rPr>
      </w:pPr>
    </w:p>
    <w:p w:rsidR="008217B9" w:rsidRPr="00915FE6" w:rsidRDefault="008217B9" w:rsidP="008217B9">
      <w:pPr>
        <w:pStyle w:val="NormalWeb"/>
        <w:tabs>
          <w:tab w:val="left" w:pos="709"/>
        </w:tabs>
        <w:spacing w:before="0" w:beforeAutospacing="0" w:after="0" w:afterAutospacing="0" w:line="360" w:lineRule="auto"/>
        <w:jc w:val="both"/>
        <w:rPr>
          <w:rFonts w:ascii="Arial" w:hAnsi="Arial" w:cs="Arial"/>
          <w:sz w:val="20"/>
          <w:szCs w:val="20"/>
        </w:rPr>
      </w:pPr>
    </w:p>
    <w:p w:rsidR="008217B9" w:rsidRDefault="008217B9" w:rsidP="008217B9">
      <w:pPr>
        <w:pStyle w:val="NormalWeb"/>
        <w:tabs>
          <w:tab w:val="left" w:pos="709"/>
        </w:tabs>
        <w:spacing w:before="0" w:beforeAutospacing="0" w:after="0" w:afterAutospacing="0" w:line="360" w:lineRule="auto"/>
        <w:jc w:val="both"/>
        <w:rPr>
          <w:rFonts w:ascii="Arial" w:hAnsi="Arial" w:cs="Arial"/>
          <w:sz w:val="20"/>
          <w:szCs w:val="20"/>
        </w:rPr>
      </w:pPr>
    </w:p>
    <w:p w:rsidR="009D3AC8" w:rsidRDefault="009D3AC8"/>
    <w:sectPr w:rsidR="009D3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ヒラギノ明朝 Pro W3">
    <w:altName w:val="MS Mincho"/>
    <w:charset w:val="80"/>
    <w:family w:val="auto"/>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716"/>
    <w:multiLevelType w:val="hybridMultilevel"/>
    <w:tmpl w:val="D6A40A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767884"/>
    <w:multiLevelType w:val="hybridMultilevel"/>
    <w:tmpl w:val="6F3CEE1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B9"/>
    <w:rsid w:val="003B3C8F"/>
    <w:rsid w:val="003C227D"/>
    <w:rsid w:val="00637870"/>
    <w:rsid w:val="008217B9"/>
    <w:rsid w:val="008B3A24"/>
    <w:rsid w:val="00924E3C"/>
    <w:rsid w:val="009C6158"/>
    <w:rsid w:val="009D3AC8"/>
    <w:rsid w:val="00B95F13"/>
    <w:rsid w:val="00C053F8"/>
    <w:rsid w:val="00C35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B9"/>
    <w:pPr>
      <w:spacing w:after="0" w:line="360" w:lineRule="auto"/>
      <w:ind w:left="3686" w:hanging="3686"/>
      <w:jc w:val="both"/>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8217B9"/>
    <w:pPr>
      <w:spacing w:before="100" w:beforeAutospacing="1" w:after="100" w:afterAutospacing="1" w:line="240" w:lineRule="auto"/>
      <w:ind w:left="0" w:firstLine="0"/>
      <w:jc w:val="left"/>
    </w:pPr>
    <w:rPr>
      <w:rFonts w:ascii="Times New Roman" w:eastAsia="Times New Roman" w:hAnsi="Times New Roman"/>
      <w:sz w:val="24"/>
      <w:szCs w:val="24"/>
      <w:lang w:eastAsia="tr-TR"/>
    </w:rPr>
  </w:style>
  <w:style w:type="character" w:customStyle="1" w:styleId="apple-style-span">
    <w:name w:val="apple-style-span"/>
    <w:basedOn w:val="VarsaylanParagrafYazTipi"/>
    <w:rsid w:val="008217B9"/>
  </w:style>
  <w:style w:type="paragraph" w:styleId="ListeParagraf">
    <w:name w:val="List Paragraph"/>
    <w:basedOn w:val="Normal"/>
    <w:uiPriority w:val="34"/>
    <w:qFormat/>
    <w:rsid w:val="00C053F8"/>
    <w:pPr>
      <w:spacing w:after="200" w:line="276" w:lineRule="auto"/>
      <w:ind w:left="720" w:firstLine="0"/>
      <w:contextualSpacing/>
      <w:jc w:val="left"/>
    </w:pPr>
    <w:rPr>
      <w:rFonts w:asciiTheme="minorHAnsi" w:eastAsiaTheme="minorHAnsi" w:hAnsiTheme="minorHAnsi" w:cstheme="minorBidi"/>
    </w:rPr>
  </w:style>
  <w:style w:type="character" w:styleId="Kpr">
    <w:name w:val="Hyperlink"/>
    <w:basedOn w:val="VarsaylanParagrafYazTipi"/>
    <w:uiPriority w:val="99"/>
    <w:unhideWhenUsed/>
    <w:rsid w:val="00C053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7B9"/>
    <w:pPr>
      <w:spacing w:after="0" w:line="360" w:lineRule="auto"/>
      <w:ind w:left="3686" w:hanging="3686"/>
      <w:jc w:val="both"/>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8217B9"/>
    <w:pPr>
      <w:spacing w:before="100" w:beforeAutospacing="1" w:after="100" w:afterAutospacing="1" w:line="240" w:lineRule="auto"/>
      <w:ind w:left="0" w:firstLine="0"/>
      <w:jc w:val="left"/>
    </w:pPr>
    <w:rPr>
      <w:rFonts w:ascii="Times New Roman" w:eastAsia="Times New Roman" w:hAnsi="Times New Roman"/>
      <w:sz w:val="24"/>
      <w:szCs w:val="24"/>
      <w:lang w:eastAsia="tr-TR"/>
    </w:rPr>
  </w:style>
  <w:style w:type="character" w:customStyle="1" w:styleId="apple-style-span">
    <w:name w:val="apple-style-span"/>
    <w:basedOn w:val="VarsaylanParagrafYazTipi"/>
    <w:rsid w:val="008217B9"/>
  </w:style>
  <w:style w:type="paragraph" w:styleId="ListeParagraf">
    <w:name w:val="List Paragraph"/>
    <w:basedOn w:val="Normal"/>
    <w:uiPriority w:val="34"/>
    <w:qFormat/>
    <w:rsid w:val="00C053F8"/>
    <w:pPr>
      <w:spacing w:after="200" w:line="276" w:lineRule="auto"/>
      <w:ind w:left="720" w:firstLine="0"/>
      <w:contextualSpacing/>
      <w:jc w:val="left"/>
    </w:pPr>
    <w:rPr>
      <w:rFonts w:asciiTheme="minorHAnsi" w:eastAsiaTheme="minorHAnsi" w:hAnsiTheme="minorHAnsi" w:cstheme="minorBidi"/>
    </w:rPr>
  </w:style>
  <w:style w:type="character" w:styleId="Kpr">
    <w:name w:val="Hyperlink"/>
    <w:basedOn w:val="VarsaylanParagrafYazTipi"/>
    <w:uiPriority w:val="99"/>
    <w:unhideWhenUsed/>
    <w:rsid w:val="00C05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tb.org.tr/index.php/Haberler/hukuk-61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tb.org.tr/images/stories/haberler/2016/kararlar/danistay15kara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4685</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dc:creator>
  <cp:lastModifiedBy>basin</cp:lastModifiedBy>
  <cp:revision>2</cp:revision>
  <dcterms:created xsi:type="dcterms:W3CDTF">2016-10-13T11:27:00Z</dcterms:created>
  <dcterms:modified xsi:type="dcterms:W3CDTF">2016-10-13T11:27:00Z</dcterms:modified>
</cp:coreProperties>
</file>