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61" w:rsidRPr="005C3005" w:rsidRDefault="00A52A61" w:rsidP="0010416D">
      <w:pPr>
        <w:pStyle w:val="ListeParagraf"/>
        <w:spacing w:before="144" w:after="144"/>
        <w:ind w:left="1287"/>
        <w:rPr>
          <w:rFonts w:ascii="Times New Roman" w:eastAsia="Times New Roman" w:hAnsi="Times New Roman" w:cs="Times New Roman"/>
          <w:b/>
          <w:bCs/>
          <w:color w:val="0070C0"/>
          <w:sz w:val="24"/>
          <w:szCs w:val="24"/>
          <w:lang w:eastAsia="tr-TR"/>
        </w:rPr>
      </w:pPr>
      <w:bookmarkStart w:id="0" w:name="_GoBack"/>
      <w:bookmarkEnd w:id="0"/>
      <w:r w:rsidRPr="005C3005">
        <w:rPr>
          <w:rFonts w:ascii="Times New Roman" w:eastAsia="Times New Roman" w:hAnsi="Times New Roman" w:cs="Times New Roman"/>
          <w:b/>
          <w:bCs/>
          <w:color w:val="0070C0"/>
          <w:sz w:val="24"/>
          <w:szCs w:val="24"/>
          <w:lang w:eastAsia="tr-TR"/>
        </w:rPr>
        <w:t xml:space="preserve">İşyeri hekimi ve iş güvenliği uzmanına bildirim yükümlülüğü getirildi </w:t>
      </w:r>
    </w:p>
    <w:p w:rsidR="00A52A61" w:rsidRPr="005C3005" w:rsidRDefault="00A52A61" w:rsidP="00A52A61">
      <w:pPr>
        <w:pStyle w:val="ListeParagraf"/>
        <w:numPr>
          <w:ilvl w:val="1"/>
          <w:numId w:val="1"/>
        </w:numPr>
        <w:spacing w:before="144" w:after="144"/>
        <w:rPr>
          <w:rFonts w:ascii="Times New Roman" w:hAnsi="Times New Roman" w:cs="Times New Roman"/>
          <w:b/>
          <w:sz w:val="24"/>
          <w:szCs w:val="24"/>
        </w:rPr>
      </w:pPr>
      <w:r w:rsidRPr="005C3005">
        <w:rPr>
          <w:rFonts w:ascii="Times New Roman" w:hAnsi="Times New Roman" w:cs="Times New Roman"/>
          <w:b/>
          <w:sz w:val="24"/>
          <w:szCs w:val="24"/>
        </w:rPr>
        <w:t>Bildirim yükümlülüğü</w:t>
      </w:r>
    </w:p>
    <w:p w:rsidR="00A52A61" w:rsidRPr="005C3005" w:rsidRDefault="00A52A61" w:rsidP="00A52A61">
      <w:pPr>
        <w:spacing w:before="144" w:after="144"/>
        <w:rPr>
          <w:rFonts w:ascii="Times New Roman" w:eastAsia="Times New Roman" w:hAnsi="Times New Roman" w:cs="Times New Roman"/>
          <w:i/>
          <w:sz w:val="24"/>
          <w:szCs w:val="24"/>
          <w:lang w:eastAsia="tr-TR"/>
        </w:rPr>
      </w:pPr>
      <w:r w:rsidRPr="005C3005">
        <w:rPr>
          <w:rFonts w:ascii="Times New Roman" w:hAnsi="Times New Roman" w:cs="Times New Roman"/>
          <w:sz w:val="24"/>
          <w:szCs w:val="24"/>
        </w:rPr>
        <w:t xml:space="preserve">Yasayla işyeri hekimi ve iş güvenliği uzmanına kademeli bir bildirim yükümlülüğü getirilmiştir. Buna göre </w:t>
      </w:r>
      <w:r w:rsidRPr="005C3005">
        <w:rPr>
          <w:rFonts w:ascii="Times New Roman" w:hAnsi="Times New Roman" w:cs="Times New Roman"/>
          <w:i/>
          <w:sz w:val="24"/>
          <w:szCs w:val="24"/>
        </w:rPr>
        <w:t>“</w:t>
      </w:r>
      <w:r w:rsidRPr="005C3005">
        <w:rPr>
          <w:rFonts w:ascii="Times New Roman" w:eastAsia="Times New Roman" w:hAnsi="Times New Roman" w:cs="Times New Roman"/>
          <w:i/>
          <w:color w:val="000000"/>
          <w:sz w:val="24"/>
          <w:szCs w:val="24"/>
          <w:lang w:eastAsia="tr-TR"/>
        </w:rPr>
        <w:t>işyeri hekimi ve iş güvenliği uzmanı, görev aldığı işyerinde göreviyle ilgili mevzuat ve teknik gelişmeleri göz önünde bulundurarak iş sağlığı ve güvenliği ile ilgili eksiklik ve aksaklıkları, tedbir ve tavsiyeleri belirler ve işverene yazılı olarak bildirir”</w:t>
      </w:r>
      <w:r w:rsidRPr="005C3005">
        <w:rPr>
          <w:rFonts w:ascii="Times New Roman" w:eastAsia="Times New Roman" w:hAnsi="Times New Roman" w:cs="Times New Roman"/>
          <w:color w:val="000000"/>
          <w:sz w:val="24"/>
          <w:szCs w:val="24"/>
          <w:lang w:eastAsia="tr-TR"/>
        </w:rPr>
        <w:t xml:space="preserve"> Bu bildirim üzerine işverenin gerekli tedbirleri alması gerektiği tartışmasızdır. </w:t>
      </w:r>
      <w:proofErr w:type="gramStart"/>
      <w:r w:rsidRPr="005C3005">
        <w:rPr>
          <w:rFonts w:ascii="Times New Roman" w:eastAsia="Times New Roman" w:hAnsi="Times New Roman" w:cs="Times New Roman"/>
          <w:color w:val="000000"/>
          <w:sz w:val="24"/>
          <w:szCs w:val="24"/>
          <w:lang w:eastAsia="tr-TR"/>
        </w:rPr>
        <w:t xml:space="preserve">Ancak </w:t>
      </w:r>
      <w:r w:rsidRPr="005C3005">
        <w:rPr>
          <w:rFonts w:ascii="Times New Roman" w:eastAsia="Times New Roman" w:hAnsi="Times New Roman" w:cs="Times New Roman"/>
          <w:i/>
          <w:color w:val="000000"/>
          <w:sz w:val="24"/>
          <w:szCs w:val="24"/>
          <w:lang w:eastAsia="tr-TR"/>
        </w:rPr>
        <w:t>“</w:t>
      </w:r>
      <w:r w:rsidRPr="005C3005">
        <w:rPr>
          <w:rFonts w:ascii="Times New Roman" w:eastAsia="Times New Roman" w:hAnsi="Times New Roman" w:cs="Times New Roman"/>
          <w:i/>
          <w:sz w:val="24"/>
          <w:szCs w:val="24"/>
          <w:lang w:eastAsia="tr-TR"/>
        </w:rPr>
        <w:t>Bildirilen eksiklik ve aksaklıkların acil durdurmayı gerektirmesi veya yangın, patlama, göçme, kimyasal sızıntı ve benzeri acil ve hayati tehlike arz etmesi, meslek hastalığına sebep olabilecek ortamların bulunmasına rağmen işveren tarafından gerekli tedbirlerin alınmaması hâlinde, bu durum işyeri hekimi veya iş güvenliği uzmanınca, Bakanlığın yetkili birimine, varsa yetkili sendika temsilcisine, yoksa çalışan temsilcisine bildirilir.”</w:t>
      </w:r>
      <w:proofErr w:type="gramEnd"/>
    </w:p>
    <w:p w:rsidR="00A52A61" w:rsidRPr="005C3005" w:rsidRDefault="00A52A61" w:rsidP="00A52A61">
      <w:pPr>
        <w:spacing w:before="144" w:after="144"/>
        <w:rPr>
          <w:rFonts w:ascii="Times New Roman" w:hAnsi="Times New Roman" w:cs="Times New Roman"/>
          <w:sz w:val="24"/>
          <w:szCs w:val="24"/>
        </w:rPr>
      </w:pPr>
      <w:r w:rsidRPr="005C3005">
        <w:rPr>
          <w:rFonts w:ascii="Times New Roman" w:hAnsi="Times New Roman" w:cs="Times New Roman"/>
          <w:sz w:val="24"/>
          <w:szCs w:val="24"/>
        </w:rPr>
        <w:t xml:space="preserve">Bir başka anlatımla işyeri hekimi ve iş güvenliği uzmanının yazılı olarak işverene bildirdiği ancak gerekli önlem alınmayan risk işin acil durdurulmasını gerektiriyorsa, acil ve hayati tehlike arz ediyorsa veya meslek hastalığına sebep olabilecek nitelikte ise işyeri hekimi ve iş güvenliği uzmanının ikincil bildirim yükümlülüğü söz konusudur. Bu durumda işyeri hekimi ve iş güvenliği uzmanı durumu Bakanlığa, işyerinde varsa yetkili sendika temsilcisine, işyerinde sendika temsilcisi yoksa çalışan temsilcisine bildirecektir. Bu bildirimin yazılı olacağına ilişkin şart olmamakla birlikte ileride kanıtlayabilmek için yazılı bildirim yapılmasında yarar vardır. Bu bildirimin şekline ilişkin bir şart da söz konusu olmayıp durumun </w:t>
      </w:r>
      <w:proofErr w:type="spellStart"/>
      <w:r w:rsidRPr="005C3005">
        <w:rPr>
          <w:rFonts w:ascii="Times New Roman" w:hAnsi="Times New Roman" w:cs="Times New Roman"/>
          <w:sz w:val="24"/>
          <w:szCs w:val="24"/>
        </w:rPr>
        <w:t>aciliyeti</w:t>
      </w:r>
      <w:proofErr w:type="spellEnd"/>
      <w:r w:rsidRPr="005C3005">
        <w:rPr>
          <w:rFonts w:ascii="Times New Roman" w:hAnsi="Times New Roman" w:cs="Times New Roman"/>
          <w:sz w:val="24"/>
          <w:szCs w:val="24"/>
        </w:rPr>
        <w:t xml:space="preserve"> gözetilerek telefon ve ardından elektronik posta, telgraf, mektup gibi ileride </w:t>
      </w:r>
      <w:proofErr w:type="spellStart"/>
      <w:r w:rsidRPr="005C3005">
        <w:rPr>
          <w:rFonts w:ascii="Times New Roman" w:hAnsi="Times New Roman" w:cs="Times New Roman"/>
          <w:sz w:val="24"/>
          <w:szCs w:val="24"/>
        </w:rPr>
        <w:t>isbatı</w:t>
      </w:r>
      <w:proofErr w:type="spellEnd"/>
      <w:r w:rsidRPr="005C3005">
        <w:rPr>
          <w:rFonts w:ascii="Times New Roman" w:hAnsi="Times New Roman" w:cs="Times New Roman"/>
          <w:sz w:val="24"/>
          <w:szCs w:val="24"/>
        </w:rPr>
        <w:t xml:space="preserve"> sağlayabilecek araçlardan biri kullanılabilir.</w:t>
      </w:r>
    </w:p>
    <w:p w:rsidR="00A52A61" w:rsidRPr="005C3005" w:rsidRDefault="00A52A61" w:rsidP="00A52A61">
      <w:pPr>
        <w:pStyle w:val="ListeParagraf"/>
        <w:numPr>
          <w:ilvl w:val="1"/>
          <w:numId w:val="1"/>
        </w:numPr>
        <w:spacing w:before="144" w:after="144"/>
        <w:rPr>
          <w:rFonts w:ascii="Times New Roman" w:hAnsi="Times New Roman" w:cs="Times New Roman"/>
          <w:b/>
          <w:sz w:val="24"/>
          <w:szCs w:val="24"/>
        </w:rPr>
      </w:pPr>
      <w:r w:rsidRPr="005C3005">
        <w:rPr>
          <w:rFonts w:ascii="Times New Roman" w:hAnsi="Times New Roman" w:cs="Times New Roman"/>
          <w:b/>
          <w:sz w:val="24"/>
          <w:szCs w:val="24"/>
        </w:rPr>
        <w:t>Bildirim yükümlülüğünün ihlali</w:t>
      </w:r>
    </w:p>
    <w:p w:rsidR="00A52A61" w:rsidRPr="005C3005" w:rsidRDefault="00A52A61" w:rsidP="00A52A61">
      <w:pPr>
        <w:spacing w:before="144" w:after="144"/>
        <w:rPr>
          <w:rFonts w:ascii="Times New Roman" w:eastAsia="Times New Roman" w:hAnsi="Times New Roman" w:cs="Times New Roman"/>
          <w:color w:val="000000"/>
          <w:sz w:val="24"/>
          <w:szCs w:val="24"/>
          <w:lang w:eastAsia="tr-TR"/>
        </w:rPr>
      </w:pPr>
      <w:r w:rsidRPr="005C3005">
        <w:rPr>
          <w:rFonts w:ascii="Times New Roman" w:eastAsia="Times New Roman" w:hAnsi="Times New Roman" w:cs="Times New Roman"/>
          <w:sz w:val="24"/>
          <w:szCs w:val="24"/>
          <w:lang w:eastAsia="tr-TR"/>
        </w:rPr>
        <w:t xml:space="preserve">Bildirim yükümlülüğünün ihlal edilmesi de Yasa’da yaptırıma bağlandı. İşyeri hekimi ve iş güvenliği uzmanının yükümlü olduğu bildirimi yapmaması kademeli olarak üç aydan altı aya kadar meslek belgesinin askıya alınması yaptırımına bağlanmıştır: “Bildirim yapmadığı tespit edilen işyeri hekimi ve iş güvenliği uzmanının belgesi üç ay, tekrarında </w:t>
      </w:r>
      <w:r w:rsidRPr="005C3005">
        <w:rPr>
          <w:rFonts w:ascii="Times New Roman" w:eastAsia="Times New Roman" w:hAnsi="Times New Roman" w:cs="Times New Roman"/>
          <w:color w:val="000000"/>
          <w:sz w:val="24"/>
          <w:szCs w:val="24"/>
          <w:lang w:eastAsia="tr-TR"/>
        </w:rPr>
        <w:t xml:space="preserve">ise altı ay süreyle askıya alınır.” Ancak düzenlemede bildirim yapılmadığının ikinci saptanmasının hangi periyod içinde olacağı ve ilk saptamanın belli bir zaman sonra sicilden silinmesi gereği itirazlara karşın düzenlenmemiştir. Aynı yıl içinde, beş </w:t>
      </w:r>
      <w:r w:rsidRPr="005C3005">
        <w:rPr>
          <w:rFonts w:ascii="Times New Roman" w:eastAsia="Times New Roman" w:hAnsi="Times New Roman" w:cs="Times New Roman"/>
          <w:color w:val="000000"/>
          <w:sz w:val="24"/>
          <w:szCs w:val="24"/>
          <w:lang w:eastAsia="tr-TR"/>
        </w:rPr>
        <w:lastRenderedPageBreak/>
        <w:t xml:space="preserve">yıl içinde, aynı işveren nezdinde </w:t>
      </w:r>
      <w:r w:rsidRPr="005C3005">
        <w:rPr>
          <w:rFonts w:ascii="Times New Roman" w:eastAsia="Times New Roman" w:hAnsi="Times New Roman" w:cs="Times New Roman"/>
          <w:i/>
          <w:color w:val="000000"/>
          <w:sz w:val="24"/>
          <w:szCs w:val="24"/>
          <w:lang w:eastAsia="tr-TR"/>
        </w:rPr>
        <w:t xml:space="preserve">tekrarında </w:t>
      </w:r>
      <w:r w:rsidRPr="005C3005">
        <w:rPr>
          <w:rFonts w:ascii="Times New Roman" w:eastAsia="Times New Roman" w:hAnsi="Times New Roman" w:cs="Times New Roman"/>
          <w:color w:val="000000"/>
          <w:sz w:val="24"/>
          <w:szCs w:val="24"/>
          <w:lang w:eastAsia="tr-TR"/>
        </w:rPr>
        <w:t xml:space="preserve">gibi bir niteleme yapılmadığından işyeri hekimi ve iş güvenliği uzmanı, süresi yargı kararlarıyla şekillenecek bir dönem </w:t>
      </w:r>
      <w:r w:rsidRPr="005C3005">
        <w:rPr>
          <w:rFonts w:ascii="Times New Roman" w:eastAsia="Times New Roman" w:hAnsi="Times New Roman" w:cs="Times New Roman"/>
          <w:i/>
          <w:color w:val="000000"/>
          <w:sz w:val="24"/>
          <w:szCs w:val="24"/>
          <w:lang w:eastAsia="tr-TR"/>
        </w:rPr>
        <w:t>tekraren saptanma</w:t>
      </w:r>
      <w:r w:rsidRPr="005C3005">
        <w:rPr>
          <w:rFonts w:ascii="Times New Roman" w:eastAsia="Times New Roman" w:hAnsi="Times New Roman" w:cs="Times New Roman"/>
          <w:color w:val="000000"/>
          <w:sz w:val="24"/>
          <w:szCs w:val="24"/>
          <w:lang w:eastAsia="tr-TR"/>
        </w:rPr>
        <w:t xml:space="preserve"> riskini taşıyacaktır. </w:t>
      </w:r>
    </w:p>
    <w:p w:rsidR="00A52A61" w:rsidRPr="005C3005" w:rsidRDefault="00A52A61" w:rsidP="00A52A61">
      <w:pPr>
        <w:pStyle w:val="ListeParagraf"/>
        <w:numPr>
          <w:ilvl w:val="1"/>
          <w:numId w:val="1"/>
        </w:numPr>
        <w:spacing w:before="144" w:after="144"/>
        <w:rPr>
          <w:rFonts w:ascii="Times New Roman" w:hAnsi="Times New Roman" w:cs="Times New Roman"/>
          <w:b/>
          <w:sz w:val="24"/>
          <w:szCs w:val="24"/>
        </w:rPr>
      </w:pPr>
      <w:r w:rsidRPr="005C3005">
        <w:rPr>
          <w:rFonts w:ascii="Times New Roman" w:hAnsi="Times New Roman" w:cs="Times New Roman"/>
          <w:b/>
          <w:sz w:val="24"/>
          <w:szCs w:val="24"/>
        </w:rPr>
        <w:t>Bildirim yükümlülüğünün kötüye kullanılması</w:t>
      </w:r>
    </w:p>
    <w:p w:rsidR="00A52A61" w:rsidRPr="005C3005" w:rsidRDefault="00A52A61" w:rsidP="00A52A61">
      <w:pPr>
        <w:spacing w:before="144" w:after="144"/>
        <w:rPr>
          <w:rFonts w:ascii="Times New Roman" w:eastAsia="Times New Roman" w:hAnsi="Times New Roman" w:cs="Times New Roman"/>
          <w:color w:val="000000"/>
          <w:sz w:val="24"/>
          <w:szCs w:val="24"/>
          <w:lang w:eastAsia="tr-TR"/>
        </w:rPr>
      </w:pPr>
      <w:r w:rsidRPr="005C3005">
        <w:rPr>
          <w:rFonts w:ascii="Times New Roman" w:eastAsia="Times New Roman" w:hAnsi="Times New Roman" w:cs="Times New Roman"/>
          <w:color w:val="000000"/>
          <w:sz w:val="24"/>
          <w:szCs w:val="24"/>
          <w:lang w:eastAsia="tr-TR"/>
        </w:rPr>
        <w:t xml:space="preserve">Bildirim yükümlülüğünün kötüye kullanılmasına da yaptırım düzenlenmiştir. Buna göre işyeri hekimi ve iş güvenliği uzmanının gerçek dışı bir bildirimi </w:t>
      </w:r>
      <w:proofErr w:type="spellStart"/>
      <w:r w:rsidRPr="005C3005">
        <w:rPr>
          <w:rFonts w:ascii="Times New Roman" w:eastAsia="Times New Roman" w:hAnsi="Times New Roman" w:cs="Times New Roman"/>
          <w:color w:val="000000"/>
          <w:sz w:val="24"/>
          <w:szCs w:val="24"/>
          <w:lang w:eastAsia="tr-TR"/>
        </w:rPr>
        <w:t>kötüniyetle</w:t>
      </w:r>
      <w:proofErr w:type="spellEnd"/>
      <w:r w:rsidRPr="005C3005">
        <w:rPr>
          <w:rFonts w:ascii="Times New Roman" w:eastAsia="Times New Roman" w:hAnsi="Times New Roman" w:cs="Times New Roman"/>
          <w:color w:val="000000"/>
          <w:sz w:val="24"/>
          <w:szCs w:val="24"/>
          <w:lang w:eastAsia="tr-TR"/>
        </w:rPr>
        <w:t xml:space="preserve"> yaptığı yargı kararıyla kesin olarak saptanırsa mesleki yetki veren belgesi 6 ay süreyle askıya alınacaktır: “Açılan davada, kötü niyetle gerçek dışı bildirimde bulunduğu mahkeme kararıyla tespit edilen kişinin belgesi altı ay süreyle askıya alınır.”</w:t>
      </w:r>
    </w:p>
    <w:p w:rsidR="00A52A61" w:rsidRPr="005C3005" w:rsidRDefault="00A52A61" w:rsidP="00A52A61">
      <w:pPr>
        <w:pStyle w:val="ListeParagraf"/>
        <w:numPr>
          <w:ilvl w:val="1"/>
          <w:numId w:val="1"/>
        </w:numPr>
        <w:spacing w:before="144" w:after="144"/>
        <w:rPr>
          <w:rFonts w:ascii="Times New Roman" w:hAnsi="Times New Roman" w:cs="Times New Roman"/>
          <w:b/>
          <w:sz w:val="24"/>
          <w:szCs w:val="24"/>
        </w:rPr>
      </w:pPr>
      <w:r w:rsidRPr="005C3005">
        <w:rPr>
          <w:rFonts w:ascii="Times New Roman" w:hAnsi="Times New Roman" w:cs="Times New Roman"/>
          <w:b/>
          <w:sz w:val="24"/>
          <w:szCs w:val="24"/>
        </w:rPr>
        <w:t>Bildirim sebebiyle ek iş güvencesi</w:t>
      </w:r>
    </w:p>
    <w:p w:rsidR="00A52A61" w:rsidRPr="005C3005" w:rsidRDefault="00A52A61" w:rsidP="00A52A61">
      <w:pPr>
        <w:pStyle w:val="ListeParagraf"/>
        <w:spacing w:before="144" w:after="144"/>
        <w:ind w:left="567"/>
        <w:rPr>
          <w:rFonts w:ascii="Times New Roman" w:hAnsi="Times New Roman" w:cs="Times New Roman"/>
          <w:sz w:val="24"/>
          <w:szCs w:val="24"/>
        </w:rPr>
      </w:pPr>
      <w:r w:rsidRPr="005C3005">
        <w:rPr>
          <w:rFonts w:ascii="Times New Roman" w:hAnsi="Times New Roman" w:cs="Times New Roman"/>
          <w:sz w:val="24"/>
          <w:szCs w:val="24"/>
        </w:rPr>
        <w:t>Yıllardan beri Türk Tabipleri Birliğinin ısrarla dile getirdiği, işçi sağılığı ve iş güvenliği alanında ana aktör olarak konumlandırılan işyeri hekimi ve iş güvenliği uzmanına etkin bir iş güvencesi sağlanmadıkça bu alanda istenen iyileşmenin ortaya çıkamayacağı savı ilk kez -eksik de olsa- karşılık bulmuştur.</w:t>
      </w:r>
    </w:p>
    <w:p w:rsidR="00A52A61" w:rsidRPr="005C3005" w:rsidRDefault="00A52A61" w:rsidP="00A52A61">
      <w:pPr>
        <w:pStyle w:val="ListeParagraf"/>
        <w:spacing w:before="144" w:after="144"/>
        <w:ind w:left="567"/>
        <w:rPr>
          <w:rFonts w:ascii="Times New Roman" w:eastAsia="Times New Roman" w:hAnsi="Times New Roman" w:cs="Times New Roman"/>
          <w:color w:val="000000"/>
          <w:sz w:val="24"/>
          <w:szCs w:val="24"/>
          <w:lang w:eastAsia="tr-TR"/>
        </w:rPr>
      </w:pPr>
      <w:r w:rsidRPr="005C3005">
        <w:rPr>
          <w:rFonts w:ascii="Times New Roman" w:hAnsi="Times New Roman" w:cs="Times New Roman"/>
          <w:sz w:val="24"/>
          <w:szCs w:val="24"/>
        </w:rPr>
        <w:t>İşyeri hekimi ve iş güvenliği uzmanlarına bildirim yükümlülüğü getirilmesiyle birlikte, bu bildirimin rahatlıkla yapılabilmesi için bir de güvence tanımlanması gerekmiştir.  Yasa’da oldukça eksik bir biçimde “</w:t>
      </w:r>
      <w:r w:rsidRPr="005C3005">
        <w:rPr>
          <w:rFonts w:ascii="Times New Roman" w:eastAsia="Times New Roman" w:hAnsi="Times New Roman" w:cs="Times New Roman"/>
          <w:color w:val="000000"/>
          <w:sz w:val="24"/>
          <w:szCs w:val="24"/>
          <w:lang w:eastAsia="tr-TR"/>
        </w:rPr>
        <w:t>Bu bildirimden dolayı işvereni tarafından işyeri hekimi veya iş güvenliği uzmanının iş sözleşmesine son verilemez ve bu kişiler hiçbir şekilde hak kaybına uğratılamaz. Aksi takdirde işveren hakkında bir yıllık sözleşme ücreti tutarından az olmamak üzere tazminata hükmedilir.” denilerek işyeri hekimi ve iş güvenliği uzmanına tanınan ek iş güvencesini sadece bildirim yükümlülüğü sebebiyle haklarının kısıtlanması ya da iş akdinin feshedilmesine bağlı tutmuştur.</w:t>
      </w:r>
    </w:p>
    <w:p w:rsidR="00A52A61" w:rsidRPr="005C3005" w:rsidRDefault="00A52A61" w:rsidP="00A52A61">
      <w:pPr>
        <w:pStyle w:val="ListeParagraf"/>
        <w:spacing w:before="144" w:after="144"/>
        <w:ind w:left="567"/>
        <w:rPr>
          <w:rFonts w:ascii="Times New Roman" w:eastAsia="Times New Roman" w:hAnsi="Times New Roman" w:cs="Times New Roman"/>
          <w:color w:val="000000"/>
          <w:sz w:val="24"/>
          <w:szCs w:val="24"/>
          <w:lang w:eastAsia="tr-TR"/>
        </w:rPr>
      </w:pPr>
      <w:proofErr w:type="gramStart"/>
      <w:r w:rsidRPr="005C3005">
        <w:rPr>
          <w:rFonts w:ascii="Times New Roman" w:eastAsia="Times New Roman" w:hAnsi="Times New Roman" w:cs="Times New Roman"/>
          <w:color w:val="000000"/>
          <w:sz w:val="24"/>
          <w:szCs w:val="24"/>
          <w:lang w:eastAsia="tr-TR"/>
        </w:rPr>
        <w:t>Oysa,</w:t>
      </w:r>
      <w:proofErr w:type="gramEnd"/>
      <w:r w:rsidRPr="005C3005">
        <w:rPr>
          <w:rFonts w:ascii="Times New Roman" w:eastAsia="Times New Roman" w:hAnsi="Times New Roman" w:cs="Times New Roman"/>
          <w:color w:val="000000"/>
          <w:sz w:val="24"/>
          <w:szCs w:val="24"/>
          <w:lang w:eastAsia="tr-TR"/>
        </w:rPr>
        <w:t xml:space="preserve"> işyeri hekiminin görev alanındaki konularla ilgili olarak olası riskleri saptama ve işverene bildirme yükümlülüğü görevlerinden sadece birisidir. </w:t>
      </w:r>
      <w:proofErr w:type="gramStart"/>
      <w:r w:rsidRPr="005C3005">
        <w:rPr>
          <w:rFonts w:ascii="Times New Roman" w:eastAsia="Times New Roman" w:hAnsi="Times New Roman" w:cs="Times New Roman"/>
          <w:color w:val="000000"/>
          <w:sz w:val="24"/>
          <w:szCs w:val="24"/>
          <w:lang w:eastAsia="tr-TR"/>
        </w:rPr>
        <w:t>Ek iş güvencesinin sadece bildirim yükümlülüğüne bağlanması sebebiyle; örneğin, işçinin sağlığı üzerinde yaratacağı olumsuz etki sebebiyle belli bir işte çalışmasının uygun olmadığını belirtmesi ya da işçiyi olası meslek hastalığı sebebiyle meslek hastalıkları hastanesine sevk etmesi gibi bir sebeple işyeri hekiminin iş akdinin sona erdirilmesinde bu Yasa ile tanınan iş güvencesi uygulanamayacaktır.</w:t>
      </w:r>
      <w:proofErr w:type="gramEnd"/>
    </w:p>
    <w:p w:rsidR="00A52A61" w:rsidRPr="005C3005" w:rsidRDefault="00A52A61" w:rsidP="00A52A61">
      <w:pPr>
        <w:pStyle w:val="ListeParagraf"/>
        <w:spacing w:before="144" w:after="144"/>
        <w:ind w:left="567"/>
        <w:rPr>
          <w:rFonts w:ascii="Times New Roman" w:eastAsia="Times New Roman" w:hAnsi="Times New Roman" w:cs="Times New Roman"/>
          <w:color w:val="000000"/>
          <w:sz w:val="24"/>
          <w:szCs w:val="24"/>
          <w:lang w:eastAsia="tr-TR"/>
        </w:rPr>
      </w:pPr>
      <w:r w:rsidRPr="005C3005">
        <w:rPr>
          <w:rFonts w:ascii="Times New Roman" w:eastAsia="Times New Roman" w:hAnsi="Times New Roman" w:cs="Times New Roman"/>
          <w:color w:val="000000"/>
          <w:sz w:val="24"/>
          <w:szCs w:val="24"/>
          <w:lang w:eastAsia="tr-TR"/>
        </w:rPr>
        <w:t>Bu nedenle getirilen düzenleme bir ilk adım olması sebebiyle önemli olmakla birlikte ciddi ölçüde eksiktir.</w:t>
      </w:r>
    </w:p>
    <w:p w:rsidR="00A52A61" w:rsidRPr="005C3005" w:rsidRDefault="00A52A61" w:rsidP="00A52A61">
      <w:pPr>
        <w:pStyle w:val="ListeParagraf"/>
        <w:spacing w:before="144" w:after="144"/>
        <w:ind w:left="567"/>
        <w:rPr>
          <w:rFonts w:ascii="Times New Roman" w:hAnsi="Times New Roman" w:cs="Times New Roman"/>
          <w:sz w:val="24"/>
          <w:szCs w:val="24"/>
        </w:rPr>
      </w:pPr>
      <w:r w:rsidRPr="005C3005">
        <w:rPr>
          <w:rFonts w:ascii="Times New Roman" w:eastAsia="Times New Roman" w:hAnsi="Times New Roman" w:cs="Times New Roman"/>
          <w:color w:val="000000"/>
          <w:sz w:val="24"/>
          <w:szCs w:val="24"/>
          <w:lang w:eastAsia="tr-TR"/>
        </w:rPr>
        <w:t xml:space="preserve">Bütün bunlardan başka, önemi sebebiyle hatırlatmak gerekir ki, burada tanımlanan ek iş güvencesi işyeri hekimi ve iş güvenliği uzmanının diğer mevzuattan kaynaklanan işe </w:t>
      </w:r>
      <w:r w:rsidRPr="005C3005">
        <w:rPr>
          <w:rFonts w:ascii="Times New Roman" w:eastAsia="Times New Roman" w:hAnsi="Times New Roman" w:cs="Times New Roman"/>
          <w:color w:val="000000"/>
          <w:sz w:val="24"/>
          <w:szCs w:val="24"/>
          <w:lang w:eastAsia="tr-TR"/>
        </w:rPr>
        <w:lastRenderedPageBreak/>
        <w:t xml:space="preserve">iade talebi ve tazminatı, kıdem ve ihbar tazminatı gibi işçilik haklarını ortadan kaldırmamakta; onlara ek olarak getirilmektedir. Yasa’da bu husus açıkça ifade edilmiştir: </w:t>
      </w:r>
      <w:r w:rsidRPr="005C3005">
        <w:rPr>
          <w:rFonts w:ascii="Times New Roman" w:eastAsia="Times New Roman" w:hAnsi="Times New Roman" w:cs="Times New Roman"/>
          <w:i/>
          <w:color w:val="000000"/>
          <w:sz w:val="24"/>
          <w:szCs w:val="24"/>
          <w:lang w:eastAsia="tr-TR"/>
        </w:rPr>
        <w:t>“İşyeri hekimi veya iş güvenliği uzmanının iş kanunları ve diğer kanunlara göre sahip olduğu hakları saklıdır.”</w:t>
      </w:r>
    </w:p>
    <w:p w:rsidR="00B20C56" w:rsidRDefault="00B20C56" w:rsidP="00A52A61">
      <w:pPr>
        <w:spacing w:before="144" w:after="144"/>
      </w:pPr>
    </w:p>
    <w:sectPr w:rsidR="00B20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F354C"/>
    <w:multiLevelType w:val="hybridMultilevel"/>
    <w:tmpl w:val="D41E0832"/>
    <w:lvl w:ilvl="0" w:tplc="041F000F">
      <w:start w:val="1"/>
      <w:numFmt w:val="decimal"/>
      <w:lvlText w:val="%1."/>
      <w:lvlJc w:val="left"/>
      <w:pPr>
        <w:ind w:left="1287" w:hanging="360"/>
      </w:p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A61"/>
    <w:rsid w:val="0010416D"/>
    <w:rsid w:val="0045171C"/>
    <w:rsid w:val="00534888"/>
    <w:rsid w:val="005C0AB6"/>
    <w:rsid w:val="00933C2C"/>
    <w:rsid w:val="009A10CB"/>
    <w:rsid w:val="00A52A61"/>
    <w:rsid w:val="00B20C56"/>
    <w:rsid w:val="00BD4D66"/>
    <w:rsid w:val="00D34CAC"/>
    <w:rsid w:val="00FD3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61"/>
    <w:pPr>
      <w:spacing w:beforeLines="60" w:afterLines="60" w:after="0" w:line="360" w:lineRule="auto"/>
      <w:ind w:left="567"/>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2A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61"/>
    <w:pPr>
      <w:spacing w:beforeLines="60" w:afterLines="60" w:after="0" w:line="360" w:lineRule="auto"/>
      <w:ind w:left="567"/>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2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4503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2</cp:revision>
  <dcterms:created xsi:type="dcterms:W3CDTF">2015-04-20T14:48:00Z</dcterms:created>
  <dcterms:modified xsi:type="dcterms:W3CDTF">2015-04-20T14:52:00Z</dcterms:modified>
</cp:coreProperties>
</file>