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11191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Suçu</w:t>
      </w:r>
      <w:r w:rsidR="007225B4" w:rsidRPr="005A0B3B">
        <w:rPr>
          <w:rFonts w:ascii="Calibri" w:eastAsia="Times New Roman" w:hAnsi="Calibri" w:cs="Times New Roman"/>
          <w:b/>
          <w:sz w:val="18"/>
          <w:szCs w:val="18"/>
          <w:lang w:eastAsia="tr-TR"/>
        </w:rPr>
        <w:t xml:space="preserve"> mağdura yükle</w:t>
      </w:r>
      <w:r w:rsidRPr="005A0B3B">
        <w:rPr>
          <w:rFonts w:ascii="Calibri" w:eastAsia="Times New Roman" w:hAnsi="Calibri" w:cs="Times New Roman"/>
          <w:b/>
          <w:sz w:val="18"/>
          <w:szCs w:val="18"/>
          <w:lang w:eastAsia="tr-TR"/>
        </w:rPr>
        <w:t>mek</w:t>
      </w:r>
      <w:r w:rsidR="007225B4" w:rsidRPr="005A0B3B">
        <w:rPr>
          <w:rFonts w:ascii="Calibri" w:eastAsia="Times New Roman" w:hAnsi="Calibri" w:cs="Times New Roman"/>
          <w:b/>
          <w:sz w:val="18"/>
          <w:szCs w:val="18"/>
          <w:lang w:eastAsia="tr-TR"/>
        </w:rPr>
        <w:t xml:space="preserve">: </w:t>
      </w:r>
      <w:r w:rsidRPr="005A0B3B">
        <w:rPr>
          <w:rFonts w:ascii="Calibri" w:eastAsia="Times New Roman" w:hAnsi="Calibri" w:cs="Times New Roman"/>
          <w:b/>
          <w:sz w:val="18"/>
          <w:szCs w:val="18"/>
          <w:lang w:eastAsia="tr-TR"/>
        </w:rPr>
        <w:t>V</w:t>
      </w:r>
      <w:r w:rsidR="007225B4" w:rsidRPr="005A0B3B">
        <w:rPr>
          <w:rFonts w:ascii="Calibri" w:eastAsia="Times New Roman" w:hAnsi="Calibri" w:cs="Times New Roman"/>
          <w:b/>
          <w:sz w:val="18"/>
          <w:szCs w:val="18"/>
          <w:lang w:eastAsia="tr-TR"/>
        </w:rPr>
        <w:t xml:space="preserve">akıf özel idaresinin Güneydoğu Londra planı </w:t>
      </w:r>
    </w:p>
    <w:p w:rsidR="007225B4" w:rsidRPr="005A0B3B" w:rsidRDefault="007225B4" w:rsidP="007225B4">
      <w:pPr>
        <w:jc w:val="center"/>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b/>
          <w:sz w:val="18"/>
          <w:szCs w:val="18"/>
          <w:lang w:eastAsia="tr-TR"/>
        </w:rPr>
      </w:pPr>
      <w:proofErr w:type="spellStart"/>
      <w:r w:rsidRPr="005A0B3B">
        <w:rPr>
          <w:rFonts w:ascii="Calibri" w:eastAsia="Times New Roman" w:hAnsi="Calibri" w:cs="Times New Roman"/>
          <w:b/>
          <w:sz w:val="18"/>
          <w:szCs w:val="18"/>
          <w:lang w:eastAsia="tr-TR"/>
        </w:rPr>
        <w:t>Prof</w:t>
      </w:r>
      <w:proofErr w:type="spellEnd"/>
      <w:r w:rsidRPr="005A0B3B">
        <w:rPr>
          <w:rFonts w:ascii="Calibri" w:eastAsia="Times New Roman" w:hAnsi="Calibri" w:cs="Times New Roman"/>
          <w:b/>
          <w:sz w:val="18"/>
          <w:szCs w:val="18"/>
          <w:lang w:eastAsia="tr-TR"/>
        </w:rPr>
        <w:t xml:space="preserve"> </w:t>
      </w:r>
      <w:proofErr w:type="spellStart"/>
      <w:r w:rsidRPr="005A0B3B">
        <w:rPr>
          <w:rFonts w:ascii="Calibri" w:eastAsia="Times New Roman" w:hAnsi="Calibri" w:cs="Times New Roman"/>
          <w:b/>
          <w:sz w:val="18"/>
          <w:szCs w:val="18"/>
          <w:lang w:eastAsia="tr-TR"/>
        </w:rPr>
        <w:t>Allyson</w:t>
      </w:r>
      <w:proofErr w:type="spellEnd"/>
      <w:r w:rsidRPr="005A0B3B">
        <w:rPr>
          <w:rFonts w:ascii="Calibri" w:eastAsia="Times New Roman" w:hAnsi="Calibri" w:cs="Times New Roman"/>
          <w:b/>
          <w:sz w:val="18"/>
          <w:szCs w:val="18"/>
          <w:lang w:eastAsia="tr-TR"/>
        </w:rPr>
        <w:t xml:space="preserve"> </w:t>
      </w:r>
      <w:proofErr w:type="spellStart"/>
      <w:r w:rsidRPr="005A0B3B">
        <w:rPr>
          <w:rFonts w:ascii="Calibri" w:eastAsia="Times New Roman" w:hAnsi="Calibri" w:cs="Times New Roman"/>
          <w:b/>
          <w:sz w:val="18"/>
          <w:szCs w:val="18"/>
          <w:lang w:eastAsia="tr-TR"/>
        </w:rPr>
        <w:t>Pollock</w:t>
      </w:r>
      <w:proofErr w:type="spellEnd"/>
      <w:r w:rsidRPr="005A0B3B">
        <w:rPr>
          <w:rFonts w:ascii="Calibri" w:eastAsia="Times New Roman" w:hAnsi="Calibri" w:cs="Times New Roman"/>
          <w:b/>
          <w:sz w:val="18"/>
          <w:szCs w:val="18"/>
          <w:lang w:eastAsia="tr-TR"/>
        </w:rPr>
        <w:t xml:space="preserve"> </w:t>
      </w:r>
    </w:p>
    <w:p w:rsidR="007225B4" w:rsidRPr="005A0B3B" w:rsidRDefault="007225B4" w:rsidP="007225B4">
      <w:pPr>
        <w:jc w:val="both"/>
        <w:rPr>
          <w:rFonts w:ascii="Calibri" w:eastAsia="Times New Roman" w:hAnsi="Calibri" w:cs="Times New Roman"/>
          <w:b/>
          <w:sz w:val="18"/>
          <w:szCs w:val="18"/>
          <w:lang w:eastAsia="tr-TR"/>
        </w:rPr>
      </w:pPr>
      <w:proofErr w:type="spellStart"/>
      <w:r w:rsidRPr="005A0B3B">
        <w:rPr>
          <w:rFonts w:ascii="Calibri" w:eastAsia="Times New Roman" w:hAnsi="Calibri" w:cs="Times New Roman"/>
          <w:b/>
          <w:sz w:val="18"/>
          <w:szCs w:val="18"/>
          <w:lang w:eastAsia="tr-TR"/>
        </w:rPr>
        <w:t>Dr</w:t>
      </w:r>
      <w:proofErr w:type="spellEnd"/>
      <w:r w:rsidRPr="005A0B3B">
        <w:rPr>
          <w:rFonts w:ascii="Calibri" w:eastAsia="Times New Roman" w:hAnsi="Calibri" w:cs="Times New Roman"/>
          <w:b/>
          <w:sz w:val="18"/>
          <w:szCs w:val="18"/>
          <w:lang w:eastAsia="tr-TR"/>
        </w:rPr>
        <w:t xml:space="preserve"> </w:t>
      </w:r>
      <w:proofErr w:type="spellStart"/>
      <w:r w:rsidRPr="005A0B3B">
        <w:rPr>
          <w:rFonts w:ascii="Calibri" w:eastAsia="Times New Roman" w:hAnsi="Calibri" w:cs="Times New Roman"/>
          <w:b/>
          <w:sz w:val="18"/>
          <w:szCs w:val="18"/>
          <w:lang w:eastAsia="tr-TR"/>
        </w:rPr>
        <w:t>Elias</w:t>
      </w:r>
      <w:proofErr w:type="spellEnd"/>
      <w:r w:rsidRPr="005A0B3B">
        <w:rPr>
          <w:rFonts w:ascii="Calibri" w:eastAsia="Times New Roman" w:hAnsi="Calibri" w:cs="Times New Roman"/>
          <w:b/>
          <w:sz w:val="18"/>
          <w:szCs w:val="18"/>
          <w:lang w:eastAsia="tr-TR"/>
        </w:rPr>
        <w:t xml:space="preserve"> </w:t>
      </w:r>
      <w:proofErr w:type="spellStart"/>
      <w:r w:rsidRPr="005A0B3B">
        <w:rPr>
          <w:rFonts w:ascii="Calibri" w:eastAsia="Times New Roman" w:hAnsi="Calibri" w:cs="Times New Roman"/>
          <w:b/>
          <w:sz w:val="18"/>
          <w:szCs w:val="18"/>
          <w:lang w:eastAsia="tr-TR"/>
        </w:rPr>
        <w:t>Kondilis</w:t>
      </w:r>
      <w:proofErr w:type="spellEnd"/>
      <w:r w:rsidRPr="005A0B3B">
        <w:rPr>
          <w:rFonts w:ascii="Calibri" w:eastAsia="Times New Roman" w:hAnsi="Calibri" w:cs="Times New Roman"/>
          <w:b/>
          <w:sz w:val="18"/>
          <w:szCs w:val="18"/>
          <w:lang w:eastAsia="tr-TR"/>
        </w:rPr>
        <w:t xml:space="preserve">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David </w:t>
      </w:r>
      <w:proofErr w:type="spellStart"/>
      <w:r w:rsidRPr="005A0B3B">
        <w:rPr>
          <w:rFonts w:ascii="Calibri" w:eastAsia="Times New Roman" w:hAnsi="Calibri" w:cs="Times New Roman"/>
          <w:b/>
          <w:sz w:val="18"/>
          <w:szCs w:val="18"/>
          <w:lang w:eastAsia="tr-TR"/>
        </w:rPr>
        <w:t>Price</w:t>
      </w:r>
      <w:proofErr w:type="spellEnd"/>
      <w:r w:rsidRPr="005A0B3B">
        <w:rPr>
          <w:rFonts w:ascii="Calibri" w:eastAsia="Times New Roman" w:hAnsi="Calibri" w:cs="Times New Roman"/>
          <w:b/>
          <w:sz w:val="18"/>
          <w:szCs w:val="18"/>
          <w:lang w:eastAsia="tr-TR"/>
        </w:rPr>
        <w:t xml:space="preserve"> </w:t>
      </w:r>
      <w:bookmarkStart w:id="0" w:name="_GoBack"/>
      <w:bookmarkEnd w:id="0"/>
    </w:p>
    <w:p w:rsidR="007225B4" w:rsidRPr="005A0B3B" w:rsidRDefault="007225B4" w:rsidP="007225B4">
      <w:p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ile</w:t>
      </w:r>
      <w:proofErr w:type="gramEnd"/>
      <w:r w:rsidRPr="005A0B3B">
        <w:rPr>
          <w:rFonts w:ascii="Calibri" w:eastAsia="Times New Roman" w:hAnsi="Calibri" w:cs="Times New Roman"/>
          <w:sz w:val="18"/>
          <w:szCs w:val="18"/>
          <w:lang w:eastAsia="tr-TR"/>
        </w:rPr>
        <w:t xml:space="preserve"> birlikte </w:t>
      </w:r>
    </w:p>
    <w:p w:rsidR="007225B4" w:rsidRPr="005A0B3B" w:rsidRDefault="007225B4" w:rsidP="007225B4">
      <w:pPr>
        <w:jc w:val="both"/>
        <w:rPr>
          <w:rFonts w:ascii="Calibri" w:eastAsia="Times New Roman" w:hAnsi="Calibri" w:cs="Times New Roman"/>
          <w:b/>
          <w:sz w:val="18"/>
          <w:szCs w:val="18"/>
          <w:lang w:eastAsia="tr-TR"/>
        </w:rPr>
      </w:pPr>
      <w:proofErr w:type="spellStart"/>
      <w:r w:rsidRPr="005A0B3B">
        <w:rPr>
          <w:rFonts w:ascii="Calibri" w:eastAsia="Times New Roman" w:hAnsi="Calibri" w:cs="Times New Roman"/>
          <w:b/>
          <w:sz w:val="18"/>
          <w:szCs w:val="18"/>
          <w:lang w:eastAsia="tr-TR"/>
        </w:rPr>
        <w:t>Graham</w:t>
      </w:r>
      <w:proofErr w:type="spellEnd"/>
      <w:r w:rsidRPr="005A0B3B">
        <w:rPr>
          <w:rFonts w:ascii="Calibri" w:eastAsia="Times New Roman" w:hAnsi="Calibri" w:cs="Times New Roman"/>
          <w:b/>
          <w:sz w:val="18"/>
          <w:szCs w:val="18"/>
          <w:lang w:eastAsia="tr-TR"/>
        </w:rPr>
        <w:t xml:space="preserve"> </w:t>
      </w:r>
      <w:proofErr w:type="spellStart"/>
      <w:r w:rsidRPr="005A0B3B">
        <w:rPr>
          <w:rFonts w:ascii="Calibri" w:eastAsia="Times New Roman" w:hAnsi="Calibri" w:cs="Times New Roman"/>
          <w:b/>
          <w:sz w:val="18"/>
          <w:szCs w:val="18"/>
          <w:lang w:eastAsia="tr-TR"/>
        </w:rPr>
        <w:t>Kirkwood</w:t>
      </w:r>
      <w:proofErr w:type="spellEnd"/>
      <w:r w:rsidRPr="005A0B3B">
        <w:rPr>
          <w:rFonts w:ascii="Calibri" w:eastAsia="Times New Roman" w:hAnsi="Calibri" w:cs="Times New Roman"/>
          <w:b/>
          <w:sz w:val="18"/>
          <w:szCs w:val="18"/>
          <w:lang w:eastAsia="tr-TR"/>
        </w:rPr>
        <w:t xml:space="preserve"> </w:t>
      </w:r>
    </w:p>
    <w:p w:rsidR="007225B4" w:rsidRPr="005A0B3B" w:rsidRDefault="007225B4" w:rsidP="007225B4">
      <w:pPr>
        <w:jc w:val="both"/>
        <w:rPr>
          <w:rFonts w:ascii="Calibri" w:eastAsia="Times New Roman" w:hAnsi="Calibri" w:cs="Times New Roman"/>
          <w:b/>
          <w:sz w:val="18"/>
          <w:szCs w:val="18"/>
          <w:lang w:eastAsia="tr-TR"/>
        </w:rPr>
      </w:pPr>
      <w:proofErr w:type="spellStart"/>
      <w:r w:rsidRPr="005A0B3B">
        <w:rPr>
          <w:rFonts w:ascii="Calibri" w:eastAsia="Times New Roman" w:hAnsi="Calibri" w:cs="Times New Roman"/>
          <w:b/>
          <w:sz w:val="18"/>
          <w:szCs w:val="18"/>
          <w:lang w:eastAsia="tr-TR"/>
        </w:rPr>
        <w:t>Dr</w:t>
      </w:r>
      <w:proofErr w:type="spellEnd"/>
      <w:r w:rsidRPr="005A0B3B">
        <w:rPr>
          <w:rFonts w:ascii="Calibri" w:eastAsia="Times New Roman" w:hAnsi="Calibri" w:cs="Times New Roman"/>
          <w:b/>
          <w:sz w:val="18"/>
          <w:szCs w:val="18"/>
          <w:lang w:eastAsia="tr-TR"/>
        </w:rPr>
        <w:t xml:space="preserve"> </w:t>
      </w:r>
      <w:proofErr w:type="spellStart"/>
      <w:r w:rsidRPr="005A0B3B">
        <w:rPr>
          <w:rFonts w:ascii="Calibri" w:eastAsia="Times New Roman" w:hAnsi="Calibri" w:cs="Times New Roman"/>
          <w:b/>
          <w:sz w:val="18"/>
          <w:szCs w:val="18"/>
          <w:lang w:eastAsia="tr-TR"/>
        </w:rPr>
        <w:t>Louisa</w:t>
      </w:r>
      <w:proofErr w:type="spellEnd"/>
      <w:r w:rsidRPr="005A0B3B">
        <w:rPr>
          <w:rFonts w:ascii="Calibri" w:eastAsia="Times New Roman" w:hAnsi="Calibri" w:cs="Times New Roman"/>
          <w:b/>
          <w:sz w:val="18"/>
          <w:szCs w:val="18"/>
          <w:lang w:eastAsia="tr-TR"/>
        </w:rPr>
        <w:t xml:space="preserve"> Harding-Edgar </w:t>
      </w: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Temel Sağlık Hizmetleri ve Halk Sağlığı Merkezi </w:t>
      </w:r>
    </w:p>
    <w:p w:rsidR="007225B4" w:rsidRPr="005A0B3B" w:rsidRDefault="007225B4" w:rsidP="007225B4">
      <w:pPr>
        <w:jc w:val="center"/>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Queen</w:t>
      </w:r>
      <w:proofErr w:type="spellEnd"/>
      <w:r w:rsidRPr="005A0B3B">
        <w:rPr>
          <w:rFonts w:ascii="Calibri" w:eastAsia="Times New Roman" w:hAnsi="Calibri" w:cs="Times New Roman"/>
          <w:sz w:val="18"/>
          <w:szCs w:val="18"/>
          <w:lang w:eastAsia="tr-TR"/>
        </w:rPr>
        <w:t xml:space="preserve"> Mary, Londra Üniversitesi</w:t>
      </w:r>
    </w:p>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 Temmuz 2013</w:t>
      </w: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Default="007225B4" w:rsidP="007225B4">
      <w:pPr>
        <w:jc w:val="both"/>
        <w:rPr>
          <w:rFonts w:ascii="Calibri" w:eastAsia="Times New Roman" w:hAnsi="Calibri" w:cs="Times New Roman"/>
          <w:sz w:val="18"/>
          <w:szCs w:val="18"/>
          <w:lang w:eastAsia="tr-TR"/>
        </w:rPr>
      </w:pPr>
    </w:p>
    <w:p w:rsidR="005A0B3B" w:rsidRDefault="005A0B3B" w:rsidP="007225B4">
      <w:pPr>
        <w:jc w:val="both"/>
        <w:rPr>
          <w:rFonts w:ascii="Calibri" w:eastAsia="Times New Roman" w:hAnsi="Calibri" w:cs="Times New Roman"/>
          <w:sz w:val="18"/>
          <w:szCs w:val="18"/>
          <w:lang w:eastAsia="tr-TR"/>
        </w:rPr>
      </w:pPr>
    </w:p>
    <w:p w:rsidR="005A0B3B" w:rsidRDefault="005A0B3B" w:rsidP="007225B4">
      <w:pPr>
        <w:jc w:val="both"/>
        <w:rPr>
          <w:rFonts w:ascii="Calibri" w:eastAsia="Times New Roman" w:hAnsi="Calibri" w:cs="Times New Roman"/>
          <w:sz w:val="18"/>
          <w:szCs w:val="18"/>
          <w:lang w:eastAsia="tr-TR"/>
        </w:rPr>
      </w:pPr>
    </w:p>
    <w:p w:rsidR="005A0B3B" w:rsidRDefault="005A0B3B" w:rsidP="007225B4">
      <w:pPr>
        <w:jc w:val="both"/>
        <w:rPr>
          <w:rFonts w:ascii="Calibri" w:eastAsia="Times New Roman" w:hAnsi="Calibri" w:cs="Times New Roman"/>
          <w:sz w:val="18"/>
          <w:szCs w:val="18"/>
          <w:lang w:eastAsia="tr-TR"/>
        </w:rPr>
      </w:pPr>
    </w:p>
    <w:p w:rsidR="005A0B3B" w:rsidRDefault="005A0B3B" w:rsidP="007225B4">
      <w:pPr>
        <w:jc w:val="both"/>
        <w:rPr>
          <w:rFonts w:ascii="Calibri" w:eastAsia="Times New Roman" w:hAnsi="Calibri" w:cs="Times New Roman"/>
          <w:sz w:val="18"/>
          <w:szCs w:val="18"/>
          <w:lang w:eastAsia="tr-TR"/>
        </w:rPr>
      </w:pPr>
    </w:p>
    <w:p w:rsidR="005A0B3B" w:rsidRDefault="005A0B3B"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lastRenderedPageBreak/>
        <w:t xml:space="preserve">İçindekiler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Yönetici özeti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Giriş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t>Bölüm 1:</w:t>
      </w:r>
      <w:r w:rsidRPr="005A0B3B">
        <w:rPr>
          <w:rFonts w:ascii="Calibri" w:eastAsia="Times New Roman" w:hAnsi="Calibri" w:cs="Times New Roman"/>
          <w:sz w:val="18"/>
          <w:szCs w:val="18"/>
          <w:lang w:eastAsia="tr-TR"/>
        </w:rPr>
        <w:t xml:space="preserve">  Güneydoğu (GD) Londra’da hükümet politikaları ve finansal durum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t>Bölüm 2:</w:t>
      </w:r>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VÖİ’nın</w:t>
      </w:r>
      <w:proofErr w:type="spellEnd"/>
      <w:r w:rsidRPr="005A0B3B">
        <w:rPr>
          <w:rFonts w:ascii="Calibri" w:eastAsia="Times New Roman" w:hAnsi="Calibri" w:cs="Times New Roman"/>
          <w:sz w:val="18"/>
          <w:szCs w:val="18"/>
          <w:lang w:eastAsia="tr-TR"/>
        </w:rPr>
        <w:t xml:space="preserve"> Güneydoğu Londra’da yaşayanların sağlık ihtiyaçlarını boşlaması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Sonuç ve tavsiyeler </w:t>
      </w: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Default="007225B4" w:rsidP="007225B4">
      <w:pPr>
        <w:jc w:val="both"/>
        <w:rPr>
          <w:rFonts w:ascii="Calibri" w:eastAsia="Times New Roman" w:hAnsi="Calibri" w:cs="Times New Roman"/>
          <w:sz w:val="18"/>
          <w:szCs w:val="18"/>
          <w:lang w:eastAsia="tr-TR"/>
        </w:rPr>
      </w:pPr>
    </w:p>
    <w:p w:rsidR="005A0B3B" w:rsidRDefault="005A0B3B" w:rsidP="007225B4">
      <w:pPr>
        <w:jc w:val="both"/>
        <w:rPr>
          <w:rFonts w:ascii="Calibri" w:eastAsia="Times New Roman" w:hAnsi="Calibri" w:cs="Times New Roman"/>
          <w:sz w:val="18"/>
          <w:szCs w:val="18"/>
          <w:lang w:eastAsia="tr-TR"/>
        </w:rPr>
      </w:pPr>
    </w:p>
    <w:p w:rsidR="005A0B3B" w:rsidRDefault="005A0B3B" w:rsidP="007225B4">
      <w:pPr>
        <w:jc w:val="both"/>
        <w:rPr>
          <w:rFonts w:ascii="Calibri" w:eastAsia="Times New Roman" w:hAnsi="Calibri" w:cs="Times New Roman"/>
          <w:sz w:val="18"/>
          <w:szCs w:val="18"/>
          <w:lang w:eastAsia="tr-TR"/>
        </w:rPr>
      </w:pPr>
    </w:p>
    <w:p w:rsidR="005A0B3B" w:rsidRPr="005A0B3B" w:rsidRDefault="005A0B3B"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lastRenderedPageBreak/>
        <w:t>Yönetici özeti</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Raporun ortaya koyduğu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Bakanlığın, Temmuz 2012’de atadığı Güney Londra Sağlık Hizmetleri Vakfı Özel İdaresi (VÖİ) tarafından hazırlanan rapor ışığında Ocak 2013’te aldığı karar sonucunda Güneydoğu Londra’da ve buradaki hastanelerde kimi önemli hizmetler kesilecek, personel işten çıkarılacak ve USH</w:t>
      </w:r>
      <w:r w:rsidR="00111914" w:rsidRPr="005A0B3B">
        <w:rPr>
          <w:rFonts w:ascii="Calibri" w:eastAsia="Times New Roman" w:hAnsi="Calibri" w:cs="Times New Roman"/>
          <w:sz w:val="18"/>
          <w:szCs w:val="18"/>
          <w:lang w:eastAsia="tr-TR"/>
        </w:rPr>
        <w:t>-NHS</w:t>
      </w:r>
      <w:r w:rsidRPr="005A0B3B">
        <w:rPr>
          <w:rFonts w:ascii="Calibri" w:eastAsia="Times New Roman" w:hAnsi="Calibri" w:cs="Times New Roman"/>
          <w:sz w:val="18"/>
          <w:szCs w:val="18"/>
          <w:lang w:eastAsia="tr-TR"/>
        </w:rPr>
        <w:t xml:space="preserve"> (ulusal sağlık hizmeti) satışları gündeme gelecektir. Raporumuzda, bütün bunların, hükümetin VÖİ rejimi getirilirken öngörülenin tersine, sağlık hizmetlerini gözeterek hareket etmemesinin sonuçları olacağını gösteriyoruz. VÖİ, hizmetleri azaltırken bunun halk sağlığı açısından yararlarını ortaya koyamamış, izlenen politikanın geçerliliği konusunda sağlam bir kanıt sunamamıştır.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Tersine, Güney Londra Sağlık Hizmetleri Vakfı (GLSHV) için öngörülen VÖİ rejimine ilişkin analizimizin gösterdiği gibi, gündemde olan, hükümet tarafından geliştirilen yeni bir finansal </w:t>
      </w:r>
      <w:proofErr w:type="spellStart"/>
      <w:r w:rsidRPr="005A0B3B">
        <w:rPr>
          <w:rFonts w:ascii="Calibri" w:eastAsia="Times New Roman" w:hAnsi="Calibri" w:cs="Times New Roman"/>
          <w:sz w:val="18"/>
          <w:szCs w:val="18"/>
          <w:lang w:eastAsia="tr-TR"/>
        </w:rPr>
        <w:t>itkili</w:t>
      </w:r>
      <w:proofErr w:type="spellEnd"/>
      <w:r w:rsidRPr="005A0B3B">
        <w:rPr>
          <w:rFonts w:ascii="Calibri" w:eastAsia="Times New Roman" w:hAnsi="Calibri" w:cs="Times New Roman"/>
          <w:sz w:val="18"/>
          <w:szCs w:val="18"/>
          <w:lang w:eastAsia="tr-TR"/>
        </w:rPr>
        <w:t xml:space="preserve"> hizmet değişimidir ve üstelik bu değişim </w:t>
      </w:r>
      <w:proofErr w:type="spellStart"/>
      <w:r w:rsidRPr="005A0B3B">
        <w:rPr>
          <w:rFonts w:ascii="Calibri" w:eastAsia="Times New Roman" w:hAnsi="Calibri" w:cs="Times New Roman"/>
          <w:sz w:val="18"/>
          <w:szCs w:val="18"/>
          <w:lang w:eastAsia="tr-TR"/>
        </w:rPr>
        <w:t>Mid-Staffordshire’daki</w:t>
      </w:r>
      <w:proofErr w:type="spellEnd"/>
      <w:r w:rsidRPr="005A0B3B">
        <w:rPr>
          <w:rFonts w:ascii="Calibri" w:eastAsia="Times New Roman" w:hAnsi="Calibri" w:cs="Times New Roman"/>
          <w:sz w:val="18"/>
          <w:szCs w:val="18"/>
          <w:lang w:eastAsia="tr-TR"/>
        </w:rPr>
        <w:t xml:space="preserve"> durumla ilgili olarak Francis araştırmasının eleştirdiği türdendir.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Suçun mağdurlara yüklenmesi: vakıf özel idaresinin güneydoğu Londra’ya ilişkin planları</w:t>
      </w:r>
    </w:p>
    <w:p w:rsidR="007225B4" w:rsidRPr="005A0B3B" w:rsidRDefault="007225B4" w:rsidP="007225B4">
      <w:pPr>
        <w:numPr>
          <w:ilvl w:val="0"/>
          <w:numId w:val="3"/>
        </w:num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 xml:space="preserve">Hizmet değişiminin ardındaki neden, </w:t>
      </w:r>
      <w:proofErr w:type="spellStart"/>
      <w:r w:rsidRPr="005A0B3B">
        <w:rPr>
          <w:rFonts w:ascii="Calibri" w:eastAsia="Times New Roman" w:hAnsi="Calibri" w:cs="Times New Roman"/>
          <w:sz w:val="18"/>
          <w:szCs w:val="18"/>
          <w:lang w:eastAsia="tr-TR"/>
        </w:rPr>
        <w:t>GLSHV’nin</w:t>
      </w:r>
      <w:proofErr w:type="spellEnd"/>
      <w:r w:rsidRPr="005A0B3B">
        <w:rPr>
          <w:rFonts w:ascii="Calibri" w:eastAsia="Times New Roman" w:hAnsi="Calibri" w:cs="Times New Roman"/>
          <w:sz w:val="18"/>
          <w:szCs w:val="18"/>
          <w:lang w:eastAsia="tr-TR"/>
        </w:rPr>
        <w:t xml:space="preserve"> uzun süredir devam eden özel finansman girişimlerinin</w:t>
      </w:r>
      <w:r w:rsidR="00111914" w:rsidRPr="005A0B3B">
        <w:rPr>
          <w:rFonts w:ascii="Calibri" w:eastAsia="Times New Roman" w:hAnsi="Calibri" w:cs="Times New Roman"/>
          <w:sz w:val="18"/>
          <w:szCs w:val="18"/>
          <w:lang w:eastAsia="tr-TR"/>
        </w:rPr>
        <w:t xml:space="preserve"> (kamu-özel ortaklığı)</w:t>
      </w:r>
      <w:r w:rsidRPr="005A0B3B">
        <w:rPr>
          <w:rFonts w:ascii="Calibri" w:eastAsia="Times New Roman" w:hAnsi="Calibri" w:cs="Times New Roman"/>
          <w:sz w:val="18"/>
          <w:szCs w:val="18"/>
          <w:lang w:eastAsia="tr-TR"/>
        </w:rPr>
        <w:t xml:space="preserve"> (</w:t>
      </w:r>
      <w:r w:rsidR="00111914" w:rsidRPr="005A0B3B">
        <w:rPr>
          <w:rFonts w:ascii="Calibri" w:eastAsia="Times New Roman" w:hAnsi="Calibri" w:cs="Times New Roman"/>
          <w:sz w:val="18"/>
          <w:szCs w:val="18"/>
          <w:lang w:eastAsia="tr-TR"/>
        </w:rPr>
        <w:t>PFI</w:t>
      </w:r>
      <w:r w:rsidRPr="005A0B3B">
        <w:rPr>
          <w:rFonts w:ascii="Calibri" w:eastAsia="Times New Roman" w:hAnsi="Calibri" w:cs="Times New Roman"/>
          <w:sz w:val="18"/>
          <w:szCs w:val="18"/>
          <w:lang w:eastAsia="tr-TR"/>
        </w:rPr>
        <w:t xml:space="preserve">) aşırı, üstelik giderek artan, ancak net olmayan maliyetleridir: Bakanlığın Temmuz 2012’deki açıklamasına göre bu maliyet £89 milyon olup Vakıf cirosunun %18’ini oluşturmaktadır; Ocak 2013 tarihli VÖİ raporuna göre de rakam £69 milyon ya da Vakıf gelirinin %16’sıdır. </w:t>
      </w:r>
      <w:proofErr w:type="gramEnd"/>
    </w:p>
    <w:p w:rsidR="007225B4" w:rsidRPr="005A0B3B" w:rsidRDefault="007225B4" w:rsidP="007225B4">
      <w:pPr>
        <w:numPr>
          <w:ilvl w:val="0"/>
          <w:numId w:val="3"/>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Yıllık ücret enflasyona endeksli olduğundan </w:t>
      </w:r>
      <w:proofErr w:type="spellStart"/>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’n</w:t>
      </w:r>
      <w:r w:rsidR="005A0B3B" w:rsidRPr="005A0B3B">
        <w:rPr>
          <w:rFonts w:ascii="Calibri" w:eastAsia="Times New Roman" w:hAnsi="Calibri" w:cs="Times New Roman"/>
          <w:sz w:val="18"/>
          <w:szCs w:val="18"/>
          <w:lang w:eastAsia="tr-TR"/>
        </w:rPr>
        <w:t>ı</w:t>
      </w:r>
      <w:r w:rsidRPr="005A0B3B">
        <w:rPr>
          <w:rFonts w:ascii="Calibri" w:eastAsia="Times New Roman" w:hAnsi="Calibri" w:cs="Times New Roman"/>
          <w:sz w:val="18"/>
          <w:szCs w:val="18"/>
          <w:lang w:eastAsia="tr-TR"/>
        </w:rPr>
        <w:t>n</w:t>
      </w:r>
      <w:proofErr w:type="spellEnd"/>
      <w:r w:rsidRPr="005A0B3B">
        <w:rPr>
          <w:rFonts w:ascii="Calibri" w:eastAsia="Times New Roman" w:hAnsi="Calibri" w:cs="Times New Roman"/>
          <w:sz w:val="18"/>
          <w:szCs w:val="18"/>
          <w:lang w:eastAsia="tr-TR"/>
        </w:rPr>
        <w:t xml:space="preserve"> Vakfa maliyeti giderek karşılanamaz hale gelmektedir.  Giderek büyüyen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krizi, ulusal tarife aracılığıyla </w:t>
      </w:r>
      <w:proofErr w:type="spellStart"/>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w:t>
      </w:r>
      <w:r w:rsidR="005A0B3B" w:rsidRPr="005A0B3B">
        <w:rPr>
          <w:rFonts w:ascii="Calibri" w:eastAsia="Times New Roman" w:hAnsi="Calibri" w:cs="Times New Roman"/>
          <w:sz w:val="18"/>
          <w:szCs w:val="18"/>
          <w:lang w:eastAsia="tr-TR"/>
        </w:rPr>
        <w:t>na</w:t>
      </w:r>
      <w:proofErr w:type="spellEnd"/>
      <w:r w:rsidRPr="005A0B3B">
        <w:rPr>
          <w:rFonts w:ascii="Calibri" w:eastAsia="Times New Roman" w:hAnsi="Calibri" w:cs="Times New Roman"/>
          <w:sz w:val="18"/>
          <w:szCs w:val="18"/>
          <w:lang w:eastAsia="tr-TR"/>
        </w:rPr>
        <w:t xml:space="preserve"> yeterli kaynaklar ayrılamaması sonucunda daha da ağırlaşmıştır. </w:t>
      </w:r>
    </w:p>
    <w:p w:rsidR="007225B4" w:rsidRPr="005A0B3B" w:rsidRDefault="007225B4" w:rsidP="007225B4">
      <w:pPr>
        <w:numPr>
          <w:ilvl w:val="0"/>
          <w:numId w:val="3"/>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Hükümetin politikası da, yetkililerin hastane refakati ve kabulü için yaptıkları ödemeleri azaltarak (ulusal tarife) ve QIPP (kalite, yenileme, verimlilik ve önleme) olarak bilinen etkinlik programı sonucunda Vakıf gelirlerini olumsuz etkilemiştir. </w:t>
      </w:r>
    </w:p>
    <w:p w:rsidR="007225B4" w:rsidRPr="005A0B3B" w:rsidRDefault="007225B4" w:rsidP="007225B4">
      <w:pPr>
        <w:numPr>
          <w:ilvl w:val="0"/>
          <w:numId w:val="3"/>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Hükümetin Vakıfların (örneğin </w:t>
      </w:r>
      <w:proofErr w:type="spellStart"/>
      <w:r w:rsidRPr="005A0B3B">
        <w:rPr>
          <w:rFonts w:ascii="Calibri" w:eastAsia="Times New Roman" w:hAnsi="Calibri" w:cs="Times New Roman"/>
          <w:sz w:val="18"/>
          <w:szCs w:val="18"/>
          <w:lang w:eastAsia="tr-TR"/>
        </w:rPr>
        <w:t>Guy’s</w:t>
      </w:r>
      <w:proofErr w:type="spellEnd"/>
      <w:r w:rsidRPr="005A0B3B">
        <w:rPr>
          <w:rFonts w:ascii="Calibri" w:eastAsia="Times New Roman" w:hAnsi="Calibri" w:cs="Times New Roman"/>
          <w:sz w:val="18"/>
          <w:szCs w:val="18"/>
          <w:lang w:eastAsia="tr-TR"/>
        </w:rPr>
        <w:t xml:space="preserve"> ve </w:t>
      </w:r>
      <w:proofErr w:type="spellStart"/>
      <w:r w:rsidRPr="005A0B3B">
        <w:rPr>
          <w:rFonts w:ascii="Calibri" w:eastAsia="Times New Roman" w:hAnsi="Calibri" w:cs="Times New Roman"/>
          <w:sz w:val="18"/>
          <w:szCs w:val="18"/>
          <w:lang w:eastAsia="tr-TR"/>
        </w:rPr>
        <w:t>King’s</w:t>
      </w:r>
      <w:proofErr w:type="spellEnd"/>
      <w:r w:rsidRPr="005A0B3B">
        <w:rPr>
          <w:rFonts w:ascii="Calibri" w:eastAsia="Times New Roman" w:hAnsi="Calibri" w:cs="Times New Roman"/>
          <w:sz w:val="18"/>
          <w:szCs w:val="18"/>
          <w:lang w:eastAsia="tr-TR"/>
        </w:rPr>
        <w:t xml:space="preserve"> gibi) fazlalıkları ellerinde tutmalarına izin veren ve görevlilerin fazlalıkları Hazine’ye iade etmelerini öngören politikası, aslında Güneydoğu Londra’da USH kullanan tüm hastalar ve halk için ayırmış olduğu fonlara </w:t>
      </w:r>
      <w:proofErr w:type="spellStart"/>
      <w:r w:rsidRPr="005A0B3B">
        <w:rPr>
          <w:rFonts w:ascii="Calibri" w:eastAsia="Times New Roman" w:hAnsi="Calibri" w:cs="Times New Roman"/>
          <w:sz w:val="18"/>
          <w:szCs w:val="18"/>
          <w:lang w:eastAsia="tr-TR"/>
        </w:rPr>
        <w:t>GLSHV’nin</w:t>
      </w:r>
      <w:proofErr w:type="spellEnd"/>
      <w:r w:rsidRPr="005A0B3B">
        <w:rPr>
          <w:rFonts w:ascii="Calibri" w:eastAsia="Times New Roman" w:hAnsi="Calibri" w:cs="Times New Roman"/>
          <w:sz w:val="18"/>
          <w:szCs w:val="18"/>
          <w:lang w:eastAsia="tr-TR"/>
        </w:rPr>
        <w:t xml:space="preserve"> erişimini engellemiştir.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Ulusal hükümetin bu politikaları hep birlikte bir finansal açığın – </w:t>
      </w:r>
      <w:proofErr w:type="spellStart"/>
      <w:r w:rsidRPr="005A0B3B">
        <w:rPr>
          <w:rFonts w:ascii="Calibri" w:eastAsia="Times New Roman" w:hAnsi="Calibri" w:cs="Times New Roman"/>
          <w:sz w:val="18"/>
          <w:szCs w:val="18"/>
          <w:lang w:eastAsia="tr-TR"/>
        </w:rPr>
        <w:t>GLSHV’de</w:t>
      </w:r>
      <w:proofErr w:type="spellEnd"/>
      <w:r w:rsidRPr="005A0B3B">
        <w:rPr>
          <w:rFonts w:ascii="Calibri" w:eastAsia="Times New Roman" w:hAnsi="Calibri" w:cs="Times New Roman"/>
          <w:sz w:val="18"/>
          <w:szCs w:val="18"/>
          <w:lang w:eastAsia="tr-TR"/>
        </w:rPr>
        <w:t xml:space="preserve"> ve başka yerlerde – ortaya çıkmasına yol açmıştır. Bu durum, kaynak tahsisinde çarpıklıklara ve VÖİ rejiminin yerel olarak öngördüğü çözümde tıkanmaya neden olmuştur.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Bu etkenlerden kimileri VÖİ raporunda da kabul edilmektedir. Ancak rapor bunun ötesinde performans yetersizliğinin kısmen yönetim zaaflarına bağlı olduğunu ileri sürmektedir. Bu yönetim zaafları arasında mekân ve kurum personeli için yapılan aşırı harcamalar da sayılmaktadır. Ne var ki, bu iddia için gösterilen kanıtlar net değildir; </w:t>
      </w:r>
      <w:proofErr w:type="spellStart"/>
      <w:r w:rsidRPr="005A0B3B">
        <w:rPr>
          <w:rFonts w:ascii="Calibri" w:eastAsia="Times New Roman" w:hAnsi="Calibri" w:cs="Times New Roman"/>
          <w:sz w:val="18"/>
          <w:szCs w:val="18"/>
          <w:lang w:eastAsia="tr-TR"/>
        </w:rPr>
        <w:t>GLSHV’nin</w:t>
      </w:r>
      <w:proofErr w:type="spellEnd"/>
      <w:r w:rsidRPr="005A0B3B">
        <w:rPr>
          <w:rFonts w:ascii="Calibri" w:eastAsia="Times New Roman" w:hAnsi="Calibri" w:cs="Times New Roman"/>
          <w:sz w:val="18"/>
          <w:szCs w:val="18"/>
          <w:lang w:eastAsia="tr-TR"/>
        </w:rPr>
        <w:t xml:space="preserve"> personel harcamalarında ve personel sayısında 2009-2010’dan 2011-2012’ye sırasıyla %1,7 ve %2,3 azalma olmuştur.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Finansal performans yetersizliği, </w:t>
      </w:r>
      <w:proofErr w:type="spellStart"/>
      <w:r w:rsidRPr="005A0B3B">
        <w:rPr>
          <w:rFonts w:ascii="Calibri" w:eastAsia="Times New Roman" w:hAnsi="Calibri" w:cs="Times New Roman"/>
          <w:sz w:val="18"/>
          <w:szCs w:val="18"/>
          <w:lang w:eastAsia="tr-TR"/>
        </w:rPr>
        <w:t>operasyonel</w:t>
      </w:r>
      <w:proofErr w:type="spellEnd"/>
      <w:r w:rsidRPr="005A0B3B">
        <w:rPr>
          <w:rFonts w:ascii="Calibri" w:eastAsia="Times New Roman" w:hAnsi="Calibri" w:cs="Times New Roman"/>
          <w:sz w:val="18"/>
          <w:szCs w:val="18"/>
          <w:lang w:eastAsia="tr-TR"/>
        </w:rPr>
        <w:t xml:space="preserve"> ve yönetsel açıdan verimsizlik gibi konulardaki VÖİ raporları verimlilikle ilgili bir dizi eleştiri içermektedir. Bunların arasında </w:t>
      </w:r>
      <w:proofErr w:type="gramStart"/>
      <w:r w:rsidRPr="005A0B3B">
        <w:rPr>
          <w:rFonts w:ascii="Calibri" w:eastAsia="Times New Roman" w:hAnsi="Calibri" w:cs="Times New Roman"/>
          <w:sz w:val="18"/>
          <w:szCs w:val="18"/>
          <w:lang w:eastAsia="tr-TR"/>
        </w:rPr>
        <w:t>entegrasyonun</w:t>
      </w:r>
      <w:proofErr w:type="gramEnd"/>
      <w:r w:rsidRPr="005A0B3B">
        <w:rPr>
          <w:rFonts w:ascii="Calibri" w:eastAsia="Times New Roman" w:hAnsi="Calibri" w:cs="Times New Roman"/>
          <w:sz w:val="18"/>
          <w:szCs w:val="18"/>
          <w:lang w:eastAsia="tr-TR"/>
        </w:rPr>
        <w:t xml:space="preserve"> sağlanamamasının getirdiği maliyetle birlikte danışman ve diğer personel başı gelirin düşüklüğü de yer almaktadır. Ne var ki, bu iddiaların gerisindeki verilerin ve yöntemlerin temel olarak içeriden derlendiğini, yeterince analiz edilmediğini ve doğrulanamayacağını göstereceğiz. </w:t>
      </w:r>
    </w:p>
    <w:p w:rsidR="007225B4" w:rsidRPr="005A0B3B" w:rsidRDefault="007225B4" w:rsidP="007225B4">
      <w:pPr>
        <w:jc w:val="both"/>
        <w:rPr>
          <w:rFonts w:ascii="Calibri" w:eastAsia="Times New Roman" w:hAnsi="Calibri" w:cs="Times New Roman"/>
          <w:b/>
          <w:sz w:val="18"/>
          <w:szCs w:val="18"/>
          <w:lang w:eastAsia="tr-TR"/>
        </w:rPr>
      </w:pPr>
      <w:proofErr w:type="spellStart"/>
      <w:r w:rsidRPr="005A0B3B">
        <w:rPr>
          <w:rFonts w:ascii="Calibri" w:eastAsia="Times New Roman" w:hAnsi="Calibri" w:cs="Times New Roman"/>
          <w:b/>
          <w:sz w:val="18"/>
          <w:szCs w:val="18"/>
          <w:lang w:eastAsia="tr-TR"/>
        </w:rPr>
        <w:t>VÖİ’nın</w:t>
      </w:r>
      <w:proofErr w:type="spellEnd"/>
      <w:r w:rsidRPr="005A0B3B">
        <w:rPr>
          <w:rFonts w:ascii="Calibri" w:eastAsia="Times New Roman" w:hAnsi="Calibri" w:cs="Times New Roman"/>
          <w:b/>
          <w:sz w:val="18"/>
          <w:szCs w:val="18"/>
          <w:lang w:eastAsia="tr-TR"/>
        </w:rPr>
        <w:t xml:space="preserve"> Güneydoğu Londra’da yaşayanların sağlık ihtiyaçlarını boşlaması </w:t>
      </w:r>
    </w:p>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VÖİ’nin</w:t>
      </w:r>
      <w:proofErr w:type="spellEnd"/>
      <w:r w:rsidRPr="005A0B3B">
        <w:rPr>
          <w:rFonts w:ascii="Calibri" w:eastAsia="Times New Roman" w:hAnsi="Calibri" w:cs="Times New Roman"/>
          <w:sz w:val="18"/>
          <w:szCs w:val="18"/>
          <w:lang w:eastAsia="tr-TR"/>
        </w:rPr>
        <w:t xml:space="preserve"> merkezi hükümet tarafından yaratılan krize bulduğu çözüm, hizmetlerde önemli kesintilere gidilmesini öngörmektedir. Bu kesintiler de, yerel nüfusun söz konusu hizmetlere yönelik makul ihtiyaçlarının değerlendirilmesine dayanmamaktadır. </w:t>
      </w:r>
    </w:p>
    <w:p w:rsidR="007225B4" w:rsidRPr="005A0B3B" w:rsidRDefault="007225B4" w:rsidP="007225B4">
      <w:pPr>
        <w:numPr>
          <w:ilvl w:val="0"/>
          <w:numId w:val="4"/>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 xml:space="preserve">Standart ihtiyaç değerlendirmesinde hasta akışları, sevk örüntü ve işlemlerindeki değişiklikler, yatak kapasitesi, personel durumu ve ihtiyaçlara göre yatak normları analiz edilir. Ne var ki Bakanlık böyle bir analiz ortada olmadan VÖİ tavsiyelerini kabul etmiştir. </w:t>
      </w:r>
    </w:p>
    <w:p w:rsidR="007225B4" w:rsidRPr="005A0B3B" w:rsidRDefault="007225B4" w:rsidP="007225B4">
      <w:pPr>
        <w:numPr>
          <w:ilvl w:val="0"/>
          <w:numId w:val="4"/>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Bununla birlikte VÖİ tavsiyeleri hizmetlerde önemli değişiklikler öngörmektedir. Öngörülenler arasında şunlar da yer almaktadır: 2013-4’ten 2015-16’ya GLSHV bütçesinde £74,9 milyonluk kesinti;  gene aynı dönemde tıbbi personel ve hemşire giderlerinde sırasıyla %16,4 ve %17,2’lik azalma ve Güney Londra’daki yatak kapasitesinin beş yıllık dönem içinde toplam %14,3 azaltılması. </w:t>
      </w:r>
      <w:proofErr w:type="spellStart"/>
      <w:r w:rsidRPr="005A0B3B">
        <w:rPr>
          <w:rFonts w:ascii="Calibri" w:eastAsia="Times New Roman" w:hAnsi="Calibri" w:cs="Times New Roman"/>
          <w:sz w:val="18"/>
          <w:szCs w:val="18"/>
          <w:lang w:eastAsia="tr-TR"/>
        </w:rPr>
        <w:t>VÖİ’ye</w:t>
      </w:r>
      <w:proofErr w:type="spellEnd"/>
      <w:r w:rsidRPr="005A0B3B">
        <w:rPr>
          <w:rFonts w:ascii="Calibri" w:eastAsia="Times New Roman" w:hAnsi="Calibri" w:cs="Times New Roman"/>
          <w:sz w:val="18"/>
          <w:szCs w:val="18"/>
          <w:lang w:eastAsia="tr-TR"/>
        </w:rPr>
        <w:t xml:space="preserve"> göre bu, mevcut yatakların 579’unun iptali anlamına gelmektedir (131’i tamamen 448’i daha sonra kullanılabilecek şekilde). </w:t>
      </w:r>
    </w:p>
    <w:p w:rsidR="007225B4" w:rsidRPr="005A0B3B" w:rsidRDefault="007225B4" w:rsidP="007225B4">
      <w:pPr>
        <w:numPr>
          <w:ilvl w:val="0"/>
          <w:numId w:val="4"/>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Gelecekte hastaların ihtiyaçlarının nasıl karşılanacağına ya da kalite ve güvenliğin nasıl sağlanacağına ilişkin açıklama ve kanıt getirmeksizin hizmetlerde ve personelde kesinti tavsiye edilmesi ciddi bir ihmaldir. </w:t>
      </w:r>
    </w:p>
    <w:p w:rsidR="007225B4" w:rsidRPr="005A0B3B" w:rsidRDefault="007225B4" w:rsidP="007225B4">
      <w:pPr>
        <w:numPr>
          <w:ilvl w:val="0"/>
          <w:numId w:val="4"/>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 Güneydoğu Londra’da akut faaliyetler ve hastane kabullerinin yıl bazında tüm Vakıflarda artmaya devam ettiği düşünüldüğünde bu politikanın riskleri büyüktür. 2005-06 ile 2011-12 arasında akut randevulu ve acil durum hastane kabullerinde %21 artış olmuştur. Gene aynı dönemde genel ve akut gecelik yatak sayısı %17 azalmıştır. Sonuç olarak yatak işgali son üç yıl boyunca güvenilir olmayan düzeylerde seyretmiştir. </w:t>
      </w:r>
    </w:p>
    <w:p w:rsidR="007225B4" w:rsidRPr="005A0B3B" w:rsidRDefault="007225B4" w:rsidP="007225B4">
      <w:pPr>
        <w:numPr>
          <w:ilvl w:val="0"/>
          <w:numId w:val="4"/>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 Güneydoğu Londra’daki durum, ülke genelindeki durumu yansıtmaktadır. İngiltere’nin tamamında personel, yatak ve hizmetlerde yapılan kesintiler yılarca birikmiştir ve bugün İngiltere’deki USH OECD ülkeleri arasında nüfus başına yatak ve personel sayısı açısından en geride yer alanlardan biridir. Örneğin 2010 yılında İngiltere’de 1000 kişiye 3,0 hastane yatağı düşerken OECD ortalaması 1000 kişiye 4,9 yataktır. </w:t>
      </w:r>
    </w:p>
    <w:p w:rsidR="007225B4" w:rsidRPr="005A0B3B" w:rsidRDefault="007225B4" w:rsidP="007225B4">
      <w:pPr>
        <w:numPr>
          <w:ilvl w:val="0"/>
          <w:numId w:val="4"/>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VÖİ raporu, </w:t>
      </w:r>
      <w:proofErr w:type="spellStart"/>
      <w:r w:rsidRPr="005A0B3B">
        <w:rPr>
          <w:rFonts w:ascii="Calibri" w:eastAsia="Times New Roman" w:hAnsi="Calibri" w:cs="Times New Roman"/>
          <w:sz w:val="18"/>
          <w:szCs w:val="18"/>
          <w:lang w:eastAsia="tr-TR"/>
        </w:rPr>
        <w:t>Guy’s</w:t>
      </w:r>
      <w:proofErr w:type="spellEnd"/>
      <w:r w:rsidRPr="005A0B3B">
        <w:rPr>
          <w:rFonts w:ascii="Calibri" w:eastAsia="Times New Roman" w:hAnsi="Calibri" w:cs="Times New Roman"/>
          <w:sz w:val="18"/>
          <w:szCs w:val="18"/>
          <w:lang w:eastAsia="tr-TR"/>
        </w:rPr>
        <w:t xml:space="preserve"> ve </w:t>
      </w:r>
      <w:proofErr w:type="spellStart"/>
      <w:r w:rsidRPr="005A0B3B">
        <w:rPr>
          <w:rFonts w:ascii="Calibri" w:eastAsia="Times New Roman" w:hAnsi="Calibri" w:cs="Times New Roman"/>
          <w:sz w:val="18"/>
          <w:szCs w:val="18"/>
          <w:lang w:eastAsia="tr-TR"/>
        </w:rPr>
        <w:t>King’s</w:t>
      </w:r>
      <w:proofErr w:type="spellEnd"/>
      <w:r w:rsidRPr="005A0B3B">
        <w:rPr>
          <w:rFonts w:ascii="Calibri" w:eastAsia="Times New Roman" w:hAnsi="Calibri" w:cs="Times New Roman"/>
          <w:sz w:val="18"/>
          <w:szCs w:val="18"/>
          <w:lang w:eastAsia="tr-TR"/>
        </w:rPr>
        <w:t xml:space="preserve"> gibi vakıfların gelirlerinin yarısına kadarını özel hastalardan sağlama serbestliğini dikkate almamaktadır. </w:t>
      </w:r>
      <w:proofErr w:type="spellStart"/>
      <w:r w:rsidRPr="005A0B3B">
        <w:rPr>
          <w:rFonts w:ascii="Calibri" w:eastAsia="Times New Roman" w:hAnsi="Calibri" w:cs="Times New Roman"/>
          <w:sz w:val="18"/>
          <w:szCs w:val="18"/>
          <w:lang w:eastAsia="tr-TR"/>
        </w:rPr>
        <w:t>USH’nin</w:t>
      </w:r>
      <w:proofErr w:type="spellEnd"/>
      <w:r w:rsidRPr="005A0B3B">
        <w:rPr>
          <w:rFonts w:ascii="Calibri" w:eastAsia="Times New Roman" w:hAnsi="Calibri" w:cs="Times New Roman"/>
          <w:sz w:val="18"/>
          <w:szCs w:val="18"/>
          <w:lang w:eastAsia="tr-TR"/>
        </w:rPr>
        <w:t xml:space="preserve"> elinde kalan yatakların, personelin ve hizmetlerin yarısı özel hastalara tahsis edilebilir ve bunlar artık USH tarafından kullanılamaz. VÖİ bunun hasta bakımı açısından ne anlama geleceğine ya da yataklarla personelin hâlihazırda nasıl kullanıldığına ilişkin herhangi bir analiz yapmamıştır. </w:t>
      </w:r>
    </w:p>
    <w:p w:rsidR="007225B4" w:rsidRPr="005A0B3B" w:rsidRDefault="007225B4" w:rsidP="007225B4">
      <w:pPr>
        <w:numPr>
          <w:ilvl w:val="0"/>
          <w:numId w:val="4"/>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VÖİ raporu “toplumca hizmet sağlanmasını” tavsiye ederken bu yeni hizmete ilişkin hiçbir kanıta, nasıl ve hangi kaynaklarla sağlanacağına ilişkin herhangi bir açıklamaya ulaşamadık. Bu, özellikle kaygı verici bir noktadır; çünkü son yirmi yıl içindeki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kaynaklı kapatma deneyimi, vaat edilen ‘toplumca sağlanmanın’ gerçekleşmediğini göstermektedir. Toplumca sağlanan hizmetlerin güçlenmesi sonucunda hastane kabullerinin azaldığını gösteren herhangi bir kanıt da yoktur. </w:t>
      </w:r>
    </w:p>
    <w:p w:rsidR="007225B4" w:rsidRPr="005A0B3B" w:rsidRDefault="007225B4" w:rsidP="007225B4">
      <w:pPr>
        <w:numPr>
          <w:ilvl w:val="0"/>
          <w:numId w:val="4"/>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 VÖİ, planlama ve erişimin yerine verimlilik ölçümlerini ve hedeflerini kullanmıştır. Ancak burada şu noktalara dikkat edilmesi gerekmektedir: (a) yolda geçen süreler halkın hizmet kullanımı ve ihtiyacı açısından bir ölçüm aracı değildir; (b) </w:t>
      </w:r>
      <w:proofErr w:type="spellStart"/>
      <w:r w:rsidRPr="005A0B3B">
        <w:rPr>
          <w:rFonts w:ascii="Calibri" w:eastAsia="Times New Roman" w:hAnsi="Calibri" w:cs="Times New Roman"/>
          <w:sz w:val="18"/>
          <w:szCs w:val="18"/>
          <w:lang w:eastAsia="tr-TR"/>
        </w:rPr>
        <w:t>Deloitte</w:t>
      </w:r>
      <w:proofErr w:type="spellEnd"/>
      <w:r w:rsidRPr="005A0B3B">
        <w:rPr>
          <w:rFonts w:ascii="Calibri" w:eastAsia="Times New Roman" w:hAnsi="Calibri" w:cs="Times New Roman"/>
          <w:sz w:val="18"/>
          <w:szCs w:val="18"/>
          <w:lang w:eastAsia="tr-TR"/>
        </w:rPr>
        <w:t xml:space="preserve"> tarafından yapılana benzer MORI kamuoyu yoklamaları kamusal sağlık planlamasının yerini tutamaz; (c) verimlilik ölçüleri de erişimin ya da ihtiyacın ölçüsü değildir: bunlar da Vakıfların yanlılığına tabidir.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Verimlilik ve etkinlikle ilgili tahminlerinde VÖİ tarafından kullanılan veriler ve yöntemler konusunda ciddi kuşkularımız vardır. Kullanılan verilerin çoğu dışa açık değildir ve </w:t>
      </w:r>
      <w:proofErr w:type="spellStart"/>
      <w:r w:rsidRPr="005A0B3B">
        <w:rPr>
          <w:rFonts w:ascii="Calibri" w:eastAsia="Times New Roman" w:hAnsi="Calibri" w:cs="Times New Roman"/>
          <w:sz w:val="18"/>
          <w:szCs w:val="18"/>
          <w:lang w:eastAsia="tr-TR"/>
        </w:rPr>
        <w:t>doğrulanabilirlik</w:t>
      </w:r>
      <w:proofErr w:type="spellEnd"/>
      <w:r w:rsidRPr="005A0B3B">
        <w:rPr>
          <w:rFonts w:ascii="Calibri" w:eastAsia="Times New Roman" w:hAnsi="Calibri" w:cs="Times New Roman"/>
          <w:sz w:val="18"/>
          <w:szCs w:val="18"/>
          <w:lang w:eastAsia="tr-TR"/>
        </w:rPr>
        <w:t xml:space="preserve"> taşımamaktadır.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Sonuç ve tavsiyeler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GLSHV için VÖİ tarafından uygulanan rejimi izleyecek kapatmalar, işten çıkarmalar, satışlar ve hizmet yeniden düzenlemeleri, ihtiyaçları en iyisinden azımsanacak en kötüsünden ise </w:t>
      </w:r>
      <w:proofErr w:type="spellStart"/>
      <w:r w:rsidRPr="005A0B3B">
        <w:rPr>
          <w:rFonts w:ascii="Calibri" w:eastAsia="Times New Roman" w:hAnsi="Calibri" w:cs="Times New Roman"/>
          <w:sz w:val="18"/>
          <w:szCs w:val="18"/>
          <w:lang w:eastAsia="tr-TR"/>
        </w:rPr>
        <w:t>boşlanacak</w:t>
      </w:r>
      <w:proofErr w:type="spellEnd"/>
      <w:r w:rsidRPr="005A0B3B">
        <w:rPr>
          <w:rFonts w:ascii="Calibri" w:eastAsia="Times New Roman" w:hAnsi="Calibri" w:cs="Times New Roman"/>
          <w:sz w:val="18"/>
          <w:szCs w:val="18"/>
          <w:lang w:eastAsia="tr-TR"/>
        </w:rPr>
        <w:t xml:space="preserve"> olan hastaların yararına değildir.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belirli hizmetlere son verilmesinde önemli bir rol oynamaktadır. Lewisham hastanesi söz konusu olduğunda, hükümetin, bankerlerin, hissedarların ve şirket paydaşlarının çıkarlarını korumak adına gelişen bir yerel hastaneyi feda ettiğinden pek az kuşku duyulabilir. GLSHV açısından ise, </w:t>
      </w:r>
      <w:proofErr w:type="spellStart"/>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’yi</w:t>
      </w:r>
      <w:proofErr w:type="spellEnd"/>
      <w:r w:rsidRPr="005A0B3B">
        <w:rPr>
          <w:rFonts w:ascii="Calibri" w:eastAsia="Times New Roman" w:hAnsi="Calibri" w:cs="Times New Roman"/>
          <w:sz w:val="18"/>
          <w:szCs w:val="18"/>
          <w:lang w:eastAsia="tr-TR"/>
        </w:rPr>
        <w:t xml:space="preserve"> yaygınlaştırma, ulusal tarifeyi düşürme ve etkinlik tasarruflarını öngörme yönündeki hükümet politikalarının yol açtığı sonuçların faturası aslında mağdur olanlara çıkarılmaktadır. Az önce sözü edilenlerin hepsinde, aslında yöredeki USH için ayrılan fonların yanlış tahsisi söz konusudur. Burada gerçek mağdurlar, Güneydoğu Londra halkı, burada çalışan ve sağlık hizmetlerinden yararlanan insanlardır. Bakanlığın VÖİ tavsiyelerine uyması halinde, halk sağlığı açısından ortaya çıkacak sonuçlar yıkıcı olacaktır.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 xml:space="preserve">Bizim tavsiyelerimiz ise şunlardır: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(1) hükümet politikalarının Vakfın finansal performansı üzerindeki etkileri dışarıda bırakılarak VÖİ rejiminin </w:t>
      </w:r>
      <w:proofErr w:type="spellStart"/>
      <w:r w:rsidRPr="005A0B3B">
        <w:rPr>
          <w:rFonts w:ascii="Calibri" w:eastAsia="Times New Roman" w:hAnsi="Calibri" w:cs="Times New Roman"/>
          <w:sz w:val="18"/>
          <w:szCs w:val="18"/>
          <w:lang w:eastAsia="tr-TR"/>
        </w:rPr>
        <w:t>GLSHV’ye</w:t>
      </w:r>
      <w:proofErr w:type="spellEnd"/>
      <w:r w:rsidRPr="005A0B3B">
        <w:rPr>
          <w:rFonts w:ascii="Calibri" w:eastAsia="Times New Roman" w:hAnsi="Calibri" w:cs="Times New Roman"/>
          <w:sz w:val="18"/>
          <w:szCs w:val="18"/>
          <w:lang w:eastAsia="tr-TR"/>
        </w:rPr>
        <w:t xml:space="preserve"> uygulanması iptal edilmeli ve durum yeniden ele alınmalıdır;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(2) gelecekte VÖİ rejimi, finansal performans yetersizlikleri hükümet politikalarından kaynaklanan Vakıflara uygulanmamalıdır; </w:t>
      </w:r>
    </w:p>
    <w:p w:rsidR="007225B4" w:rsidRPr="005A0B3B" w:rsidRDefault="007225B4" w:rsidP="007225B4">
      <w:p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 xml:space="preserve">(3) Sağlık Bakanlığı’nın VÖİ rejimine ilişkin yönetmelikleri aşağıdaki hususları sağlayacak şekilde değiştirilmelidir (a) Güneydoğu Londra’da olsun başka yerlerde olsun geleceğe yönelik tavsiyelerde uygun ve makul halk sağlığı ihtiyaç değerlendirmelerinin esas alınması, (b) tüm verilerin ve yöntemlerin kamusal alanda açıklanması ve (c) </w:t>
      </w:r>
      <w:proofErr w:type="spellStart"/>
      <w:r w:rsidRPr="005A0B3B">
        <w:rPr>
          <w:rFonts w:ascii="Calibri" w:eastAsia="Times New Roman" w:hAnsi="Calibri" w:cs="Times New Roman"/>
          <w:sz w:val="18"/>
          <w:szCs w:val="18"/>
          <w:lang w:eastAsia="tr-TR"/>
        </w:rPr>
        <w:t>VÖİ’nin</w:t>
      </w:r>
      <w:proofErr w:type="spellEnd"/>
      <w:r w:rsidRPr="005A0B3B">
        <w:rPr>
          <w:rFonts w:ascii="Calibri" w:eastAsia="Times New Roman" w:hAnsi="Calibri" w:cs="Times New Roman"/>
          <w:sz w:val="18"/>
          <w:szCs w:val="18"/>
          <w:lang w:eastAsia="tr-TR"/>
        </w:rPr>
        <w:t xml:space="preserve"> hizmet planlama standartlarına uygun olması ve aşağıdaki noktaların gözetilmesi: </w:t>
      </w:r>
      <w:proofErr w:type="gramEnd"/>
    </w:p>
    <w:p w:rsidR="007225B4" w:rsidRPr="005A0B3B" w:rsidRDefault="007225B4" w:rsidP="007225B4">
      <w:pPr>
        <w:numPr>
          <w:ilvl w:val="0"/>
          <w:numId w:val="5"/>
        </w:num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verimlilik</w:t>
      </w:r>
      <w:proofErr w:type="gramEnd"/>
      <w:r w:rsidRPr="005A0B3B">
        <w:rPr>
          <w:rFonts w:ascii="Calibri" w:eastAsia="Times New Roman" w:hAnsi="Calibri" w:cs="Times New Roman"/>
          <w:sz w:val="18"/>
          <w:szCs w:val="18"/>
          <w:lang w:eastAsia="tr-TR"/>
        </w:rPr>
        <w:t xml:space="preserve"> ölçü ve hedeflerinin planlama ve erişimin yerine kullanılmaması </w:t>
      </w:r>
    </w:p>
    <w:p w:rsidR="007225B4" w:rsidRPr="005A0B3B" w:rsidRDefault="007225B4" w:rsidP="007225B4">
      <w:pPr>
        <w:numPr>
          <w:ilvl w:val="0"/>
          <w:numId w:val="5"/>
        </w:num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yolda</w:t>
      </w:r>
      <w:proofErr w:type="gramEnd"/>
      <w:r w:rsidRPr="005A0B3B">
        <w:rPr>
          <w:rFonts w:ascii="Calibri" w:eastAsia="Times New Roman" w:hAnsi="Calibri" w:cs="Times New Roman"/>
          <w:sz w:val="18"/>
          <w:szCs w:val="18"/>
          <w:lang w:eastAsia="tr-TR"/>
        </w:rPr>
        <w:t xml:space="preserve"> geçen sürelerin halkın hizmet kullanımı ve ihtiyacında ölçü alınmaması </w:t>
      </w:r>
    </w:p>
    <w:p w:rsidR="007225B4" w:rsidRPr="005A0B3B" w:rsidRDefault="007225B4" w:rsidP="007225B4">
      <w:pPr>
        <w:numPr>
          <w:ilvl w:val="0"/>
          <w:numId w:val="5"/>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MORI kamuoyu yoklamalarının halk sağlığı planlaması yerine kullanılmaması </w:t>
      </w:r>
    </w:p>
    <w:p w:rsidR="007225B4" w:rsidRPr="005A0B3B" w:rsidRDefault="007225B4" w:rsidP="007225B4">
      <w:pPr>
        <w:numPr>
          <w:ilvl w:val="0"/>
          <w:numId w:val="5"/>
        </w:num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standart</w:t>
      </w:r>
      <w:proofErr w:type="gramEnd"/>
      <w:r w:rsidRPr="005A0B3B">
        <w:rPr>
          <w:rFonts w:ascii="Calibri" w:eastAsia="Times New Roman" w:hAnsi="Calibri" w:cs="Times New Roman"/>
          <w:sz w:val="18"/>
          <w:szCs w:val="18"/>
          <w:lang w:eastAsia="tr-TR"/>
        </w:rPr>
        <w:t xml:space="preserve"> dışı veri, yöntem ve tanımlamalara başvurulmaması</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 Sağlık Bakanlığı ve Hazine, kamu denetimine açık olması ve gerektiğinde sözleşmelerin yeniden görüşülmesi için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sözleşmelerindeki koşulları incelemeli, bunun yapılamaması durumunda Parlamento aynı işi üstlenmelidir;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(5) Sayıştay, Hizmet Kalite Komisyonu ve Avam Kamarası, dış danışmanların VÖİ için hazırladıkları raporların maliyetini ve kalitesini araştırma hususunu acilen dikkate almalıdır. </w:t>
      </w: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sz w:val="18"/>
          <w:szCs w:val="18"/>
          <w:lang w:eastAsia="tr-TR"/>
        </w:rPr>
        <w:br w:type="page"/>
      </w:r>
      <w:r w:rsidRPr="005A0B3B">
        <w:rPr>
          <w:rFonts w:ascii="Calibri" w:eastAsia="Times New Roman" w:hAnsi="Calibri" w:cs="Times New Roman"/>
          <w:b/>
          <w:sz w:val="18"/>
          <w:szCs w:val="18"/>
          <w:lang w:eastAsia="tr-TR"/>
        </w:rPr>
        <w:lastRenderedPageBreak/>
        <w:t xml:space="preserve">Giriş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Vakıf özel idaresi (VÖİ) 16 </w:t>
      </w:r>
      <w:r w:rsidRPr="005A0B3B">
        <w:rPr>
          <w:rFonts w:ascii="Calibri" w:eastAsia="Times New Roman" w:hAnsi="Calibri" w:cs="Times New Roman"/>
          <w:i/>
          <w:sz w:val="18"/>
          <w:szCs w:val="18"/>
          <w:lang w:eastAsia="tr-TR"/>
        </w:rPr>
        <w:t>Temmuz</w:t>
      </w:r>
      <w:r w:rsidRPr="005A0B3B">
        <w:rPr>
          <w:rFonts w:ascii="Calibri" w:eastAsia="Times New Roman" w:hAnsi="Calibri" w:cs="Times New Roman"/>
          <w:sz w:val="18"/>
          <w:szCs w:val="18"/>
          <w:lang w:eastAsia="tr-TR"/>
        </w:rPr>
        <w:t xml:space="preserve"> 2012 tarihinde bir kararnameyle atanmıştır. Atama gerekçesinde düzeltilmesi gereken durum şöyle anlatılmaktadır: özellikle finansal yönetim ve erişim standartları açısından uzun süredir görülen yetersiz performans ve bir yanda gelirle harcamaları dengelerken diğer yanda kaliteli hizmetler vermede uzun süredir görülen yetersizlikler.”</w:t>
      </w:r>
      <w:r w:rsidRPr="005A0B3B">
        <w:rPr>
          <w:rFonts w:ascii="Calibri" w:eastAsia="Times New Roman" w:hAnsi="Calibri" w:cs="Times New Roman"/>
          <w:sz w:val="18"/>
          <w:szCs w:val="18"/>
          <w:vertAlign w:val="superscript"/>
          <w:lang w:eastAsia="tr-TR"/>
        </w:rPr>
        <w:footnoteReference w:id="1"/>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Güney Londra Sağlık Hizmetleri Vakfı (GLSHV) ile ilgili karar, 2006 tarihli Ulusal Sağlık Hizmetleri Yasası’nın 5A Bölümü uyarınca alınmıştır. Bu bölümde </w:t>
      </w:r>
      <w:proofErr w:type="spellStart"/>
      <w:r w:rsidRPr="005A0B3B">
        <w:rPr>
          <w:rFonts w:ascii="Calibri" w:eastAsia="Times New Roman" w:hAnsi="Calibri" w:cs="Times New Roman"/>
          <w:sz w:val="18"/>
          <w:szCs w:val="18"/>
          <w:lang w:eastAsia="tr-TR"/>
        </w:rPr>
        <w:t>VÖİ’ye</w:t>
      </w:r>
      <w:proofErr w:type="spellEnd"/>
      <w:r w:rsidRPr="005A0B3B">
        <w:rPr>
          <w:rFonts w:ascii="Calibri" w:eastAsia="Times New Roman" w:hAnsi="Calibri" w:cs="Times New Roman"/>
          <w:sz w:val="18"/>
          <w:szCs w:val="18"/>
          <w:lang w:eastAsia="tr-TR"/>
        </w:rPr>
        <w:t xml:space="preserve"> “Güney Londra Ulusal Sağlık Hizmetleri Vakfının başkanının ve direktörlerinin işlevlerini yerine getirme izni” vermektedir.(1).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Buna karşılık, </w:t>
      </w:r>
      <w:proofErr w:type="spellStart"/>
      <w:r w:rsidRPr="005A0B3B">
        <w:rPr>
          <w:rFonts w:ascii="Calibri" w:eastAsia="Times New Roman" w:hAnsi="Calibri" w:cs="Times New Roman"/>
          <w:sz w:val="18"/>
          <w:szCs w:val="18"/>
          <w:lang w:eastAsia="tr-TR"/>
        </w:rPr>
        <w:t>GLSHV’nin</w:t>
      </w:r>
      <w:proofErr w:type="spellEnd"/>
      <w:r w:rsidRPr="005A0B3B">
        <w:rPr>
          <w:rFonts w:ascii="Calibri" w:eastAsia="Times New Roman" w:hAnsi="Calibri" w:cs="Times New Roman"/>
          <w:sz w:val="18"/>
          <w:szCs w:val="18"/>
          <w:lang w:eastAsia="tr-TR"/>
        </w:rPr>
        <w:t xml:space="preserve"> parçası olmayan USH kuruluşlarının başkanları ve direktörlerinin işlevleri ile ilgili herhangi bir yetki ve görev tanımlaması yapılmamaktadır.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Açığın kapatılmasına yönelik olarak VÖİ tarafından dile getirilen tavsiyelerde </w:t>
      </w:r>
      <w:proofErr w:type="spellStart"/>
      <w:r w:rsidRPr="005A0B3B">
        <w:rPr>
          <w:rFonts w:ascii="Calibri" w:eastAsia="Times New Roman" w:hAnsi="Calibri" w:cs="Times New Roman"/>
          <w:sz w:val="18"/>
          <w:szCs w:val="18"/>
          <w:lang w:eastAsia="tr-TR"/>
        </w:rPr>
        <w:t>GLSHV’den</w:t>
      </w:r>
      <w:proofErr w:type="spellEnd"/>
      <w:r w:rsidRPr="005A0B3B">
        <w:rPr>
          <w:rFonts w:ascii="Calibri" w:eastAsia="Times New Roman" w:hAnsi="Calibri" w:cs="Times New Roman"/>
          <w:sz w:val="18"/>
          <w:szCs w:val="18"/>
          <w:lang w:eastAsia="tr-TR"/>
        </w:rPr>
        <w:t xml:space="preserve"> şunlar beklenmektedir:  hâlihazırdaki toplam yatak sayısında 90-100 yatak azaltma yapılması, tıbbi ve hemşirelik hizmetlilerinin ise sırasıyla %16,4 ve %17,2 azaltılması</w:t>
      </w:r>
      <w:r w:rsidRPr="005A0B3B">
        <w:rPr>
          <w:rFonts w:ascii="Calibri" w:eastAsia="Times New Roman" w:hAnsi="Calibri" w:cs="Times New Roman"/>
          <w:sz w:val="18"/>
          <w:szCs w:val="18"/>
          <w:vertAlign w:val="superscript"/>
          <w:lang w:eastAsia="tr-TR"/>
        </w:rPr>
        <w:footnoteReference w:id="2"/>
      </w:r>
      <w:r w:rsidRPr="005A0B3B">
        <w:rPr>
          <w:rFonts w:ascii="Calibri" w:eastAsia="Times New Roman" w:hAnsi="Calibri" w:cs="Times New Roman"/>
          <w:sz w:val="18"/>
          <w:szCs w:val="18"/>
          <w:lang w:eastAsia="tr-TR"/>
        </w:rPr>
        <w:t xml:space="preserve"> (</w:t>
      </w:r>
      <w:r w:rsidRPr="005A0B3B">
        <w:rPr>
          <w:rFonts w:ascii="Calibri" w:eastAsia="Times New Roman" w:hAnsi="Calibri" w:cs="Times New Roman"/>
          <w:i/>
          <w:sz w:val="18"/>
          <w:szCs w:val="18"/>
          <w:lang w:eastAsia="tr-TR"/>
        </w:rPr>
        <w:t>sayfa</w:t>
      </w:r>
      <w:r w:rsidRPr="005A0B3B">
        <w:rPr>
          <w:rFonts w:ascii="Calibri" w:eastAsia="Times New Roman" w:hAnsi="Calibri" w:cs="Times New Roman"/>
          <w:sz w:val="18"/>
          <w:szCs w:val="18"/>
          <w:lang w:eastAsia="tr-TR"/>
        </w:rPr>
        <w:t xml:space="preserve"> 49, şekil 18-</w:t>
      </w:r>
      <w:r w:rsidRPr="005A0B3B">
        <w:rPr>
          <w:rFonts w:ascii="Calibri" w:eastAsia="Times New Roman" w:hAnsi="Calibri" w:cs="Times New Roman"/>
          <w:i/>
          <w:sz w:val="18"/>
          <w:szCs w:val="18"/>
          <w:lang w:eastAsia="tr-TR"/>
        </w:rPr>
        <w:t>sayfa</w:t>
      </w:r>
      <w:r w:rsidRPr="005A0B3B">
        <w:rPr>
          <w:rFonts w:ascii="Calibri" w:eastAsia="Times New Roman" w:hAnsi="Calibri" w:cs="Times New Roman"/>
          <w:sz w:val="18"/>
          <w:szCs w:val="18"/>
          <w:lang w:eastAsia="tr-TR"/>
        </w:rPr>
        <w:t xml:space="preserve"> 51).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Bu tür köklü yeniden yapılandırmalara, net planlama varsayımlarını temel alan ayrıntılı hizmet planlarının eşlik etmesi gerekir. Bunun için de ihtiyaçların nasıl karşılanacağı ve hastaların gelecekte nerelere yönlendirilecekleri titizlikle düşünülmelidir.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Ne var ki, ilgili yönetmeliğin </w:t>
      </w:r>
      <w:r w:rsidRPr="005A0B3B">
        <w:rPr>
          <w:rFonts w:ascii="Calibri" w:eastAsia="Times New Roman" w:hAnsi="Calibri" w:cs="Times New Roman"/>
          <w:i/>
          <w:sz w:val="18"/>
          <w:szCs w:val="18"/>
          <w:lang w:eastAsia="tr-TR"/>
        </w:rPr>
        <w:t>Temmuz</w:t>
      </w:r>
      <w:r w:rsidRPr="005A0B3B">
        <w:rPr>
          <w:rFonts w:ascii="Calibri" w:eastAsia="Times New Roman" w:hAnsi="Calibri" w:cs="Times New Roman"/>
          <w:sz w:val="18"/>
          <w:szCs w:val="18"/>
          <w:lang w:eastAsia="tr-TR"/>
        </w:rPr>
        <w:t xml:space="preserve"> 2012’de yayınlanmasına karşın Avam Kamarası Kamu Hesapları Komitesi Ekim 2012’de Sağlık Bakanlığı’nın “başarısız bir işleyişe bir vakfın sokulmasının gerekçelerini ve finansal güçlük içindeki bir vakfın geleceğine ilişkin kararların nasıl alınacağına açıklık getiremediği” sonucuna varmıştır. Ayrıca bakanlık, o sırada zaten özel idare altında olan Güney Londra USH Vakfı için başlatılan süreci de açıklayamamıştır.</w:t>
      </w:r>
      <w:r w:rsidRPr="005A0B3B">
        <w:rPr>
          <w:rFonts w:ascii="Calibri" w:eastAsia="Times New Roman" w:hAnsi="Calibri" w:cs="Times New Roman"/>
          <w:sz w:val="18"/>
          <w:szCs w:val="18"/>
          <w:vertAlign w:val="superscript"/>
          <w:lang w:eastAsia="tr-TR"/>
        </w:rPr>
        <w:footnoteReference w:id="3"/>
      </w:r>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Komite bunların yanı sıra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ile özel idare arasındaki bağlantıya da ışık tutmuştur: </w:t>
      </w:r>
    </w:p>
    <w:p w:rsidR="007225B4" w:rsidRPr="005A0B3B" w:rsidRDefault="007225B4" w:rsidP="007225B4">
      <w:pPr>
        <w:ind w:left="708"/>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“Finansal güçlük içindeki birçok vakfın yıllık sabit ödeme temelinde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sözleşmeleri bulunmaktadır ve bu ödemeler o kadar yüksektir ki vakıflar denklik noktasına gelememektedir. Bu ödemeler USH bütçesindeki önceliklerden biridir ve Bakanlık da tüm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ödemelerini güvence altına almaktan sorumludur. Çünkü yüklenicilere verilen güvence taahhüdünde Bakanlığın imzası vardır. Daha şimdiden, sözleşmelerin geri kalan sürelerine ilişkin taahhütler çerçevesinde </w:t>
      </w:r>
      <w:proofErr w:type="spellStart"/>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’lere</w:t>
      </w:r>
      <w:proofErr w:type="spellEnd"/>
      <w:r w:rsidRPr="005A0B3B">
        <w:rPr>
          <w:rFonts w:ascii="Calibri" w:eastAsia="Times New Roman" w:hAnsi="Calibri" w:cs="Times New Roman"/>
          <w:sz w:val="18"/>
          <w:szCs w:val="18"/>
          <w:lang w:eastAsia="tr-TR"/>
        </w:rPr>
        <w:t xml:space="preserve"> yapılacak ödemelerde güçlük çeken yedi vakıf için 1,5 milyar sterlin bulunması gerekmektedir ve bu da yılda ortalama 60 milyon sterlin demektir.”</w:t>
      </w:r>
      <w:r w:rsidRPr="005A0B3B">
        <w:rPr>
          <w:rFonts w:ascii="Calibri" w:eastAsia="Times New Roman" w:hAnsi="Calibri" w:cs="Times New Roman"/>
          <w:sz w:val="18"/>
          <w:szCs w:val="18"/>
          <w:vertAlign w:val="superscript"/>
          <w:lang w:eastAsia="tr-TR"/>
        </w:rPr>
        <w:footnoteReference w:id="4"/>
      </w:r>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Bakanlığın bu sorumluluğu, </w:t>
      </w:r>
      <w:proofErr w:type="spellStart"/>
      <w:r w:rsidRPr="005A0B3B">
        <w:rPr>
          <w:rFonts w:ascii="Calibri" w:eastAsia="Times New Roman" w:hAnsi="Calibri" w:cs="Times New Roman"/>
          <w:sz w:val="18"/>
          <w:szCs w:val="18"/>
          <w:lang w:eastAsia="tr-TR"/>
        </w:rPr>
        <w:t>VÖİ’nin</w:t>
      </w:r>
      <w:proofErr w:type="spellEnd"/>
      <w:r w:rsidRPr="005A0B3B">
        <w:rPr>
          <w:rFonts w:ascii="Calibri" w:eastAsia="Times New Roman" w:hAnsi="Calibri" w:cs="Times New Roman"/>
          <w:sz w:val="18"/>
          <w:szCs w:val="18"/>
          <w:lang w:eastAsia="tr-TR"/>
        </w:rPr>
        <w:t xml:space="preserve"> nihai raporunda belirgin biçimde ön plana çıkmıştır: “Eğer Hükümet faaliyetlerini sürdürmesi için halen Vakfa sağladığı önemli miktardaki nakit desteği kesmek istiyorsa, önerilen değişiklikler gereklidir.” (2)</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Bu beyan hizmetlerdeki değişimin ardında finansal mülahazaların olduğunu düşündürmektedir. Ancak, </w:t>
      </w:r>
      <w:proofErr w:type="spellStart"/>
      <w:r w:rsidRPr="005A0B3B">
        <w:rPr>
          <w:rFonts w:ascii="Calibri" w:eastAsia="Times New Roman" w:hAnsi="Calibri" w:cs="Times New Roman"/>
          <w:sz w:val="18"/>
          <w:szCs w:val="18"/>
          <w:lang w:eastAsia="tr-TR"/>
        </w:rPr>
        <w:t>Mid</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Staffordshire</w:t>
      </w:r>
      <w:proofErr w:type="spellEnd"/>
      <w:r w:rsidRPr="005A0B3B">
        <w:rPr>
          <w:rFonts w:ascii="Calibri" w:eastAsia="Times New Roman" w:hAnsi="Calibri" w:cs="Times New Roman"/>
          <w:sz w:val="18"/>
          <w:szCs w:val="18"/>
          <w:lang w:eastAsia="tr-TR"/>
        </w:rPr>
        <w:t xml:space="preserve"> Hastanesindeki standart altı hizmetlerle ilgili Francis araştırma raporu finansal mülahazalara öncelik tanınmasına karşı </w:t>
      </w:r>
      <w:r w:rsidRPr="005A0B3B">
        <w:rPr>
          <w:rFonts w:ascii="Calibri" w:eastAsia="Times New Roman" w:hAnsi="Calibri" w:cs="Times New Roman"/>
          <w:sz w:val="18"/>
          <w:szCs w:val="18"/>
          <w:lang w:eastAsia="tr-TR"/>
        </w:rPr>
        <w:lastRenderedPageBreak/>
        <w:t>uyarıda bulunmuş ve değişimin “ikna edici” gerekçeleriyle birlikte “her hizmet dalının personel ihtiyaçlarının belirlenmesinde kanıtlara dayalı yaklaşımların benimsenmesini” tavsiye etmiştir.</w:t>
      </w:r>
      <w:r w:rsidRPr="005A0B3B">
        <w:rPr>
          <w:rFonts w:ascii="Calibri" w:eastAsia="Times New Roman" w:hAnsi="Calibri" w:cs="Times New Roman"/>
          <w:sz w:val="18"/>
          <w:szCs w:val="18"/>
          <w:vertAlign w:val="superscript"/>
          <w:lang w:eastAsia="tr-TR"/>
        </w:rPr>
        <w:footnoteReference w:id="5"/>
      </w:r>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Francis raporu yönetmelikte yansıma bulmuştur. Yönetmelik, özel idareci sisteminde “hastaların yararının her zaman en önde gelmesi gerektiği” belirtilmiştir</w:t>
      </w:r>
      <w:r w:rsidRPr="005A0B3B">
        <w:rPr>
          <w:rFonts w:ascii="Calibri" w:eastAsia="Times New Roman" w:hAnsi="Calibri" w:cs="Times New Roman"/>
          <w:sz w:val="18"/>
          <w:szCs w:val="18"/>
          <w:vertAlign w:val="superscript"/>
          <w:lang w:eastAsia="tr-TR"/>
        </w:rPr>
        <w:footnoteReference w:id="6"/>
      </w:r>
      <w:r w:rsidRPr="005A0B3B">
        <w:rPr>
          <w:rFonts w:ascii="Calibri" w:eastAsia="Times New Roman" w:hAnsi="Calibri" w:cs="Times New Roman"/>
          <w:sz w:val="18"/>
          <w:szCs w:val="18"/>
          <w:lang w:eastAsia="tr-TR"/>
        </w:rPr>
        <w:t>. Dahası, Parlamento tarafından Bakana tanınan VÖİ rejimini yaygınlaştırma yetkisi “yalnızca bunun sağlık hizmetlerinin yararı açısından uygun olduğu durumlarda” kullanılacaktır</w:t>
      </w:r>
      <w:r w:rsidRPr="005A0B3B">
        <w:rPr>
          <w:rFonts w:ascii="Calibri" w:eastAsia="Times New Roman" w:hAnsi="Calibri" w:cs="Times New Roman"/>
          <w:sz w:val="18"/>
          <w:szCs w:val="18"/>
          <w:vertAlign w:val="superscript"/>
          <w:lang w:eastAsia="tr-TR"/>
        </w:rPr>
        <w:footnoteReference w:id="7"/>
      </w:r>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Bu durumda, Bakanlık bu konuda katıksız nesnel bir standarda tabi tutulamaz; ancak bütünüyle serbest bir alana sahip de değildir. Bakan, konuları adil ve akılcı biçimde ele almak, yerel nüfusun söz konusu hizmetlere yönelik makul ihtiyaçlarını değerlendirmek durumundadır. Bu ihtiyaçlar hiç kuşku yok ki “sağlık hizmetleri yararının” ayrılmaz bir parçasıdır.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Burada </w:t>
      </w:r>
      <w:proofErr w:type="spellStart"/>
      <w:r w:rsidRPr="005A0B3B">
        <w:rPr>
          <w:rFonts w:ascii="Calibri" w:eastAsia="Times New Roman" w:hAnsi="Calibri" w:cs="Times New Roman"/>
          <w:sz w:val="18"/>
          <w:szCs w:val="18"/>
          <w:lang w:eastAsia="tr-TR"/>
        </w:rPr>
        <w:t>VÖİ’nin</w:t>
      </w:r>
      <w:proofErr w:type="spellEnd"/>
      <w:r w:rsidRPr="005A0B3B">
        <w:rPr>
          <w:rFonts w:ascii="Calibri" w:eastAsia="Times New Roman" w:hAnsi="Calibri" w:cs="Times New Roman"/>
          <w:sz w:val="18"/>
          <w:szCs w:val="18"/>
          <w:lang w:eastAsia="tr-TR"/>
        </w:rPr>
        <w:t xml:space="preserve">, yerel nüfusun sağlık hizmetleri alanındaki makul ihtiyaçlarını değerlendirmeyerek Bakanı işlevlerini yerine getirememe durumunda bıraktığını gösteriyoruz.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GLSHV kronolojisi ve başlıca belgeler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109"/>
      </w:tblGrid>
      <w:tr w:rsidR="007225B4" w:rsidRPr="005A0B3B" w:rsidTr="007225B4">
        <w:tc>
          <w:tcPr>
            <w:tcW w:w="1101"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Temmuz 2012</w:t>
            </w:r>
          </w:p>
        </w:tc>
        <w:tc>
          <w:tcPr>
            <w:tcW w:w="810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Yönetmelik 2012 No. 1806. Güney Londra Ulusal Sağlık Hizmetleri Vakfı Kararı (Özel Vakıf İdarecisi Atanması Hakkında) 2012, </w:t>
            </w:r>
            <w:r w:rsidRPr="005A0B3B">
              <w:rPr>
                <w:rFonts w:ascii="Calibri" w:eastAsia="Times New Roman" w:hAnsi="Calibri" w:cs="Times New Roman"/>
                <w:i/>
                <w:sz w:val="18"/>
                <w:szCs w:val="18"/>
                <w:lang w:eastAsia="tr-TR"/>
              </w:rPr>
              <w:t>Temmuz</w:t>
            </w:r>
            <w:r w:rsidRPr="005A0B3B">
              <w:rPr>
                <w:rFonts w:ascii="Calibri" w:eastAsia="Times New Roman" w:hAnsi="Calibri" w:cs="Times New Roman"/>
                <w:sz w:val="18"/>
                <w:szCs w:val="18"/>
                <w:lang w:eastAsia="tr-TR"/>
              </w:rPr>
              <w:t xml:space="preserve"> 11, 2012 </w:t>
            </w:r>
          </w:p>
        </w:tc>
      </w:tr>
      <w:tr w:rsidR="007225B4" w:rsidRPr="005A0B3B" w:rsidTr="007225B4">
        <w:tc>
          <w:tcPr>
            <w:tcW w:w="1101" w:type="dxa"/>
          </w:tcPr>
          <w:p w:rsidR="007225B4" w:rsidRPr="005A0B3B" w:rsidRDefault="007225B4" w:rsidP="007225B4">
            <w:pPr>
              <w:jc w:val="both"/>
              <w:rPr>
                <w:rFonts w:ascii="Calibri" w:eastAsia="Times New Roman" w:hAnsi="Calibri" w:cs="Times New Roman"/>
                <w:sz w:val="18"/>
                <w:szCs w:val="18"/>
                <w:lang w:eastAsia="tr-TR"/>
              </w:rPr>
            </w:pPr>
          </w:p>
        </w:tc>
        <w:tc>
          <w:tcPr>
            <w:tcW w:w="810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Yönetmelik 2012 No. 1824. Güney Londra Ulusal Sağlık Hizmetleri </w:t>
            </w:r>
            <w:proofErr w:type="gramStart"/>
            <w:r w:rsidRPr="005A0B3B">
              <w:rPr>
                <w:rFonts w:ascii="Calibri" w:eastAsia="Times New Roman" w:hAnsi="Calibri" w:cs="Times New Roman"/>
                <w:sz w:val="18"/>
                <w:szCs w:val="18"/>
                <w:lang w:eastAsia="tr-TR"/>
              </w:rPr>
              <w:t>(</w:t>
            </w:r>
            <w:proofErr w:type="gramEnd"/>
            <w:r w:rsidRPr="005A0B3B">
              <w:rPr>
                <w:rFonts w:ascii="Calibri" w:eastAsia="Times New Roman" w:hAnsi="Calibri" w:cs="Times New Roman"/>
                <w:sz w:val="18"/>
                <w:szCs w:val="18"/>
                <w:lang w:eastAsia="tr-TR"/>
              </w:rPr>
              <w:t xml:space="preserve">Vakıf Özel İdarecisine taslak rapor hazırlaması için verilen sürenin uzatılması hakkında 2012, </w:t>
            </w:r>
            <w:r w:rsidRPr="005A0B3B">
              <w:rPr>
                <w:rFonts w:ascii="Calibri" w:eastAsia="Times New Roman" w:hAnsi="Calibri" w:cs="Times New Roman"/>
                <w:i/>
                <w:sz w:val="18"/>
                <w:szCs w:val="18"/>
                <w:lang w:eastAsia="tr-TR"/>
              </w:rPr>
              <w:t>Temmuz</w:t>
            </w:r>
            <w:r w:rsidRPr="005A0B3B">
              <w:rPr>
                <w:rFonts w:ascii="Calibri" w:eastAsia="Times New Roman" w:hAnsi="Calibri" w:cs="Times New Roman"/>
                <w:sz w:val="18"/>
                <w:szCs w:val="18"/>
                <w:lang w:eastAsia="tr-TR"/>
              </w:rPr>
              <w:t xml:space="preserve"> 11, 2012</w:t>
            </w:r>
          </w:p>
        </w:tc>
      </w:tr>
      <w:tr w:rsidR="007225B4" w:rsidRPr="005A0B3B" w:rsidTr="007225B4">
        <w:tc>
          <w:tcPr>
            <w:tcW w:w="1101" w:type="dxa"/>
          </w:tcPr>
          <w:p w:rsidR="007225B4" w:rsidRPr="005A0B3B" w:rsidRDefault="007225B4" w:rsidP="007225B4">
            <w:pPr>
              <w:jc w:val="both"/>
              <w:rPr>
                <w:rFonts w:ascii="Calibri" w:eastAsia="Times New Roman" w:hAnsi="Calibri" w:cs="Times New Roman"/>
                <w:sz w:val="18"/>
                <w:szCs w:val="18"/>
                <w:lang w:eastAsia="tr-TR"/>
              </w:rPr>
            </w:pPr>
          </w:p>
        </w:tc>
        <w:tc>
          <w:tcPr>
            <w:tcW w:w="810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1806 ve 1824 2012 sayılı kararlara ek açıklama </w:t>
            </w:r>
          </w:p>
        </w:tc>
      </w:tr>
      <w:tr w:rsidR="007225B4" w:rsidRPr="005A0B3B" w:rsidTr="007225B4">
        <w:tc>
          <w:tcPr>
            <w:tcW w:w="1101" w:type="dxa"/>
          </w:tcPr>
          <w:p w:rsidR="007225B4" w:rsidRPr="005A0B3B" w:rsidRDefault="007225B4" w:rsidP="007225B4">
            <w:pPr>
              <w:jc w:val="both"/>
              <w:rPr>
                <w:rFonts w:ascii="Calibri" w:eastAsia="Times New Roman" w:hAnsi="Calibri" w:cs="Times New Roman"/>
                <w:sz w:val="18"/>
                <w:szCs w:val="18"/>
                <w:lang w:eastAsia="tr-TR"/>
              </w:rPr>
            </w:pPr>
          </w:p>
        </w:tc>
        <w:tc>
          <w:tcPr>
            <w:tcW w:w="8109" w:type="dxa"/>
          </w:tcPr>
          <w:p w:rsidR="007225B4" w:rsidRPr="005A0B3B" w:rsidRDefault="007225B4" w:rsidP="007225B4">
            <w:p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 xml:space="preserve">Sağlık Bakanlığı’nın yazılı açıklaması. </w:t>
            </w:r>
            <w:proofErr w:type="gramEnd"/>
            <w:r w:rsidRPr="005A0B3B">
              <w:rPr>
                <w:rFonts w:ascii="Calibri" w:eastAsia="Times New Roman" w:hAnsi="Calibri" w:cs="Times New Roman"/>
                <w:sz w:val="18"/>
                <w:szCs w:val="18"/>
                <w:lang w:eastAsia="tr-TR"/>
              </w:rPr>
              <w:t xml:space="preserve">Güney Londra USH Vakfı. </w:t>
            </w:r>
            <w:r w:rsidRPr="005A0B3B">
              <w:rPr>
                <w:rFonts w:ascii="Calibri" w:eastAsia="Times New Roman" w:hAnsi="Calibri" w:cs="Times New Roman"/>
                <w:i/>
                <w:sz w:val="18"/>
                <w:szCs w:val="18"/>
                <w:lang w:eastAsia="tr-TR"/>
              </w:rPr>
              <w:t>Temmuz</w:t>
            </w:r>
            <w:r w:rsidRPr="005A0B3B">
              <w:rPr>
                <w:rFonts w:ascii="Calibri" w:eastAsia="Times New Roman" w:hAnsi="Calibri" w:cs="Times New Roman"/>
                <w:sz w:val="18"/>
                <w:szCs w:val="18"/>
                <w:lang w:eastAsia="tr-TR"/>
              </w:rPr>
              <w:t xml:space="preserve"> 12, 2012 </w:t>
            </w:r>
          </w:p>
        </w:tc>
      </w:tr>
      <w:tr w:rsidR="007225B4" w:rsidRPr="005A0B3B" w:rsidTr="007225B4">
        <w:tc>
          <w:tcPr>
            <w:tcW w:w="1101" w:type="dxa"/>
          </w:tcPr>
          <w:p w:rsidR="007225B4" w:rsidRPr="005A0B3B" w:rsidRDefault="007225B4" w:rsidP="007225B4">
            <w:pPr>
              <w:jc w:val="both"/>
              <w:rPr>
                <w:rFonts w:ascii="Calibri" w:eastAsia="Times New Roman" w:hAnsi="Calibri" w:cs="Times New Roman"/>
                <w:sz w:val="18"/>
                <w:szCs w:val="18"/>
                <w:lang w:eastAsia="tr-TR"/>
              </w:rPr>
            </w:pPr>
          </w:p>
        </w:tc>
        <w:tc>
          <w:tcPr>
            <w:tcW w:w="810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Güney Londra USH Vakfı. Sürdürülemez nitelikte USH sağlayanlar için rejimin uygulanmasının gerekçesi. </w:t>
            </w:r>
            <w:r w:rsidRPr="005A0B3B">
              <w:rPr>
                <w:rFonts w:ascii="Calibri" w:eastAsia="Times New Roman" w:hAnsi="Calibri" w:cs="Times New Roman"/>
                <w:i/>
                <w:sz w:val="18"/>
                <w:szCs w:val="18"/>
                <w:lang w:eastAsia="tr-TR"/>
              </w:rPr>
              <w:t>Temmuz</w:t>
            </w:r>
            <w:r w:rsidRPr="005A0B3B">
              <w:rPr>
                <w:rFonts w:ascii="Calibri" w:eastAsia="Times New Roman" w:hAnsi="Calibri" w:cs="Times New Roman"/>
                <w:sz w:val="18"/>
                <w:szCs w:val="18"/>
                <w:lang w:eastAsia="tr-TR"/>
              </w:rPr>
              <w:t>, 2012</w:t>
            </w:r>
          </w:p>
        </w:tc>
      </w:tr>
      <w:tr w:rsidR="007225B4" w:rsidRPr="005A0B3B" w:rsidTr="007225B4">
        <w:tc>
          <w:tcPr>
            <w:tcW w:w="1101" w:type="dxa"/>
          </w:tcPr>
          <w:p w:rsidR="007225B4" w:rsidRPr="005A0B3B" w:rsidRDefault="007225B4" w:rsidP="007225B4">
            <w:pPr>
              <w:jc w:val="both"/>
              <w:rPr>
                <w:rFonts w:ascii="Calibri" w:eastAsia="Times New Roman" w:hAnsi="Calibri" w:cs="Times New Roman"/>
                <w:sz w:val="18"/>
                <w:szCs w:val="18"/>
                <w:lang w:eastAsia="tr-TR"/>
              </w:rPr>
            </w:pPr>
          </w:p>
        </w:tc>
        <w:tc>
          <w:tcPr>
            <w:tcW w:w="810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Sağlık Bakanlığı. USH Vakıfları için Görevlendirilen özel İdareler için yönetmelik. </w:t>
            </w:r>
            <w:r w:rsidRPr="005A0B3B">
              <w:rPr>
                <w:rFonts w:ascii="Calibri" w:eastAsia="Times New Roman" w:hAnsi="Calibri" w:cs="Times New Roman"/>
                <w:i/>
                <w:sz w:val="18"/>
                <w:szCs w:val="18"/>
                <w:lang w:eastAsia="tr-TR"/>
              </w:rPr>
              <w:t>Temmuz</w:t>
            </w:r>
            <w:r w:rsidRPr="005A0B3B">
              <w:rPr>
                <w:rFonts w:ascii="Calibri" w:eastAsia="Times New Roman" w:hAnsi="Calibri" w:cs="Times New Roman"/>
                <w:sz w:val="18"/>
                <w:szCs w:val="18"/>
                <w:lang w:eastAsia="tr-TR"/>
              </w:rPr>
              <w:t xml:space="preserve"> 2012 </w:t>
            </w:r>
          </w:p>
        </w:tc>
      </w:tr>
      <w:tr w:rsidR="007225B4" w:rsidRPr="005A0B3B" w:rsidTr="007225B4">
        <w:tc>
          <w:tcPr>
            <w:tcW w:w="1101"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Kasım 2012</w:t>
            </w:r>
          </w:p>
        </w:tc>
        <w:tc>
          <w:tcPr>
            <w:tcW w:w="810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Güney Londra USH Vakfı, Özel İdare Başkanlığı. Taslak rapor – Sürdürülebilir USH sağlanması. Kasım, 2012 </w:t>
            </w:r>
          </w:p>
        </w:tc>
      </w:tr>
      <w:tr w:rsidR="007225B4" w:rsidRPr="005A0B3B" w:rsidTr="007225B4">
        <w:tc>
          <w:tcPr>
            <w:tcW w:w="1101"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Ocak 2013</w:t>
            </w:r>
          </w:p>
        </w:tc>
        <w:tc>
          <w:tcPr>
            <w:tcW w:w="810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Güney Londra USH Vakfı, Vakıf Özel İdaresi Başkanlığı. Sürdürülebilir USH sağlanması: Vakıf Özel İdaresinin Güney Londra USH Vakfı ve güneydoğu Londra’da USH ile ilgili raporu. Cilt 1. Ocak 7, 2013 </w:t>
            </w:r>
          </w:p>
        </w:tc>
      </w:tr>
      <w:tr w:rsidR="007225B4" w:rsidRPr="005A0B3B" w:rsidTr="007225B4">
        <w:tc>
          <w:tcPr>
            <w:tcW w:w="1101" w:type="dxa"/>
          </w:tcPr>
          <w:p w:rsidR="007225B4" w:rsidRPr="005A0B3B" w:rsidRDefault="007225B4" w:rsidP="007225B4">
            <w:pPr>
              <w:jc w:val="both"/>
              <w:rPr>
                <w:rFonts w:ascii="Calibri" w:eastAsia="Times New Roman" w:hAnsi="Calibri" w:cs="Times New Roman"/>
                <w:sz w:val="18"/>
                <w:szCs w:val="18"/>
                <w:lang w:eastAsia="tr-TR"/>
              </w:rPr>
            </w:pPr>
          </w:p>
        </w:tc>
        <w:tc>
          <w:tcPr>
            <w:tcW w:w="8109" w:type="dxa"/>
          </w:tcPr>
          <w:p w:rsidR="007225B4" w:rsidRPr="005A0B3B" w:rsidRDefault="007225B4" w:rsidP="007225B4">
            <w:pPr>
              <w:tabs>
                <w:tab w:val="left" w:pos="3261"/>
              </w:tabs>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USH Tıbbi Direktörünün Bakanlığa gönderdiği 30 Ocak tarihli mektup için bakınız: </w:t>
            </w:r>
            <w:hyperlink r:id="rId8" w:history="1">
              <w:r w:rsidRPr="005A0B3B">
                <w:rPr>
                  <w:rFonts w:ascii="Calibri" w:eastAsia="Times New Roman" w:hAnsi="Calibri" w:cs="Times New Roman"/>
                  <w:color w:val="0000FF"/>
                  <w:sz w:val="18"/>
                  <w:szCs w:val="18"/>
                  <w:u w:val="single"/>
                  <w:lang w:eastAsia="tr-TR"/>
                </w:rPr>
                <w:t>https://www.gov.uk/government/uploads/system/uploads/attachment_data/file/156291/south-london-healthcare-nhs</w:t>
              </w:r>
            </w:hyperlink>
            <w:r w:rsidRPr="005A0B3B">
              <w:rPr>
                <w:rFonts w:ascii="Calibri" w:eastAsia="Times New Roman" w:hAnsi="Calibri" w:cs="Times New Roman"/>
                <w:sz w:val="18"/>
                <w:szCs w:val="18"/>
                <w:lang w:eastAsia="tr-TR"/>
              </w:rPr>
              <w:t xml:space="preserve"> trust-bruce-keogh-letter.pdf. </w:t>
            </w:r>
          </w:p>
        </w:tc>
      </w:tr>
      <w:tr w:rsidR="007225B4" w:rsidRPr="005A0B3B" w:rsidTr="007225B4">
        <w:tc>
          <w:tcPr>
            <w:tcW w:w="1101" w:type="dxa"/>
          </w:tcPr>
          <w:p w:rsidR="007225B4" w:rsidRPr="005A0B3B" w:rsidRDefault="007225B4" w:rsidP="007225B4">
            <w:pPr>
              <w:jc w:val="both"/>
              <w:rPr>
                <w:rFonts w:ascii="Calibri" w:eastAsia="Times New Roman" w:hAnsi="Calibri" w:cs="Times New Roman"/>
                <w:sz w:val="18"/>
                <w:szCs w:val="18"/>
                <w:lang w:eastAsia="tr-TR"/>
              </w:rPr>
            </w:pPr>
          </w:p>
        </w:tc>
        <w:tc>
          <w:tcPr>
            <w:tcW w:w="810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Sağlık Bakanlığı. Güney Londra USH Vakfı: Bakanlıkça alınan kararın bildirimi. Ocak 31, 2013 </w:t>
            </w:r>
          </w:p>
        </w:tc>
      </w:tr>
    </w:tbl>
    <w:p w:rsidR="007225B4" w:rsidRPr="005A0B3B" w:rsidRDefault="007225B4" w:rsidP="007225B4">
      <w:pPr>
        <w:jc w:val="both"/>
        <w:rPr>
          <w:rFonts w:ascii="Calibri" w:eastAsia="Times New Roman" w:hAnsi="Calibri" w:cs="Times New Roman"/>
          <w:b/>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VÖİ tavsiyelerini 7 Ocak 2013 tarihinde Sağlık Bakanlığı’na iletti. 30 Ocak 2013’te </w:t>
      </w:r>
      <w:proofErr w:type="spellStart"/>
      <w:r w:rsidRPr="005A0B3B">
        <w:rPr>
          <w:rFonts w:ascii="Calibri" w:eastAsia="Times New Roman" w:hAnsi="Calibri" w:cs="Times New Roman"/>
          <w:sz w:val="18"/>
          <w:szCs w:val="18"/>
          <w:lang w:eastAsia="tr-TR"/>
        </w:rPr>
        <w:t>Sir</w:t>
      </w:r>
      <w:proofErr w:type="spellEnd"/>
      <w:r w:rsidRPr="005A0B3B">
        <w:rPr>
          <w:rFonts w:ascii="Calibri" w:eastAsia="Times New Roman" w:hAnsi="Calibri" w:cs="Times New Roman"/>
          <w:sz w:val="18"/>
          <w:szCs w:val="18"/>
          <w:lang w:eastAsia="tr-TR"/>
        </w:rPr>
        <w:t xml:space="preserve"> Bruce </w:t>
      </w:r>
      <w:proofErr w:type="spellStart"/>
      <w:r w:rsidRPr="005A0B3B">
        <w:rPr>
          <w:rFonts w:ascii="Calibri" w:eastAsia="Times New Roman" w:hAnsi="Calibri" w:cs="Times New Roman"/>
          <w:sz w:val="18"/>
          <w:szCs w:val="18"/>
          <w:lang w:eastAsia="tr-TR"/>
        </w:rPr>
        <w:t>Keogh</w:t>
      </w:r>
      <w:proofErr w:type="spellEnd"/>
      <w:r w:rsidRPr="005A0B3B">
        <w:rPr>
          <w:rFonts w:ascii="Calibri" w:eastAsia="Times New Roman" w:hAnsi="Calibri" w:cs="Times New Roman"/>
          <w:sz w:val="18"/>
          <w:szCs w:val="18"/>
          <w:lang w:eastAsia="tr-TR"/>
        </w:rPr>
        <w:t xml:space="preserve"> Bakanlığa ‘tavsiyelerin sağlık hizmetlerinde iyileşmeye yol açabileceği’ görüşünü bildirdi</w:t>
      </w:r>
      <w:r w:rsidRPr="005A0B3B">
        <w:rPr>
          <w:rFonts w:ascii="Calibri" w:eastAsia="Times New Roman" w:hAnsi="Calibri" w:cs="Times New Roman"/>
          <w:sz w:val="18"/>
          <w:szCs w:val="18"/>
          <w:vertAlign w:val="superscript"/>
          <w:lang w:eastAsia="tr-TR"/>
        </w:rPr>
        <w:footnoteReference w:id="8"/>
      </w:r>
      <w:r w:rsidRPr="005A0B3B">
        <w:rPr>
          <w:rFonts w:ascii="Calibri" w:eastAsia="Times New Roman" w:hAnsi="Calibri" w:cs="Times New Roman"/>
          <w:sz w:val="18"/>
          <w:szCs w:val="18"/>
          <w:lang w:eastAsia="tr-TR"/>
        </w:rPr>
        <w:t xml:space="preserve">.  31 Ocak 2013’te ise Bakanlık tavsiyeleri onayladı.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VÖİ tavsiyelerinde GLSHV bütçesinde 2013-2016 dönemi için £74,9 tutarında kısıntı öngörülmektedir. Bu kısıntının %61,8’i ödenen ücretlerden sağlanacaktır 2 (şekil 18-</w:t>
      </w:r>
      <w:r w:rsidRPr="005A0B3B">
        <w:rPr>
          <w:rFonts w:ascii="Calibri" w:eastAsia="Times New Roman" w:hAnsi="Calibri" w:cs="Times New Roman"/>
          <w:i/>
          <w:sz w:val="18"/>
          <w:szCs w:val="18"/>
          <w:lang w:eastAsia="tr-TR"/>
        </w:rPr>
        <w:t>sayfa</w:t>
      </w:r>
      <w:r w:rsidRPr="005A0B3B">
        <w:rPr>
          <w:rFonts w:ascii="Calibri" w:eastAsia="Times New Roman" w:hAnsi="Calibri" w:cs="Times New Roman"/>
          <w:sz w:val="18"/>
          <w:szCs w:val="18"/>
          <w:lang w:eastAsia="tr-TR"/>
        </w:rPr>
        <w:t xml:space="preserve"> 51). Hizmetlerdeki kapatma ve azaltmalar arasında şunlar yer almaktadır: </w:t>
      </w:r>
    </w:p>
    <w:p w:rsidR="007225B4" w:rsidRPr="005A0B3B" w:rsidRDefault="007225B4" w:rsidP="007225B4">
      <w:pPr>
        <w:numPr>
          <w:ilvl w:val="0"/>
          <w:numId w:val="7"/>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GLSHV elindeki varlıkların satışı: QM </w:t>
      </w:r>
      <w:proofErr w:type="spellStart"/>
      <w:r w:rsidRPr="005A0B3B">
        <w:rPr>
          <w:rFonts w:ascii="Calibri" w:eastAsia="Times New Roman" w:hAnsi="Calibri" w:cs="Times New Roman"/>
          <w:sz w:val="18"/>
          <w:szCs w:val="18"/>
          <w:lang w:eastAsia="tr-TR"/>
        </w:rPr>
        <w:t>Sidcup</w:t>
      </w:r>
      <w:proofErr w:type="spellEnd"/>
      <w:r w:rsidRPr="005A0B3B">
        <w:rPr>
          <w:rFonts w:ascii="Calibri" w:eastAsia="Times New Roman" w:hAnsi="Calibri" w:cs="Times New Roman"/>
          <w:sz w:val="18"/>
          <w:szCs w:val="18"/>
          <w:lang w:eastAsia="tr-TR"/>
        </w:rPr>
        <w:t xml:space="preserve"> ve </w:t>
      </w:r>
      <w:proofErr w:type="spellStart"/>
      <w:r w:rsidRPr="005A0B3B">
        <w:rPr>
          <w:rFonts w:ascii="Calibri" w:eastAsia="Times New Roman" w:hAnsi="Calibri" w:cs="Times New Roman"/>
          <w:sz w:val="18"/>
          <w:szCs w:val="18"/>
          <w:lang w:eastAsia="tr-TR"/>
        </w:rPr>
        <w:t>Orpington</w:t>
      </w:r>
      <w:proofErr w:type="spellEnd"/>
      <w:r w:rsidRPr="005A0B3B">
        <w:rPr>
          <w:rFonts w:ascii="Calibri" w:eastAsia="Times New Roman" w:hAnsi="Calibri" w:cs="Times New Roman"/>
          <w:sz w:val="18"/>
          <w:szCs w:val="18"/>
          <w:lang w:eastAsia="tr-TR"/>
        </w:rPr>
        <w:t xml:space="preserve"> hastanelerindeki üç alan elden çıkarılacaktır (2) (sayfa 57,59) </w:t>
      </w:r>
    </w:p>
    <w:p w:rsidR="007225B4" w:rsidRPr="005A0B3B" w:rsidRDefault="007225B4" w:rsidP="007225B4">
      <w:pPr>
        <w:numPr>
          <w:ilvl w:val="0"/>
          <w:numId w:val="7"/>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Beş yıllık dönem içinde toplam 579 yatağın iptal edilmesi. Bu toplama Güney Londra Sağlık Hizmetleri Vakfı’ndaki 90-100 akut yatak da dâhildir (2) (</w:t>
      </w:r>
      <w:r w:rsidRPr="005A0B3B">
        <w:rPr>
          <w:rFonts w:ascii="Calibri" w:eastAsia="Times New Roman" w:hAnsi="Calibri" w:cs="Times New Roman"/>
          <w:i/>
          <w:sz w:val="18"/>
          <w:szCs w:val="18"/>
          <w:lang w:eastAsia="tr-TR"/>
        </w:rPr>
        <w:t>sayfa</w:t>
      </w:r>
      <w:r w:rsidRPr="005A0B3B">
        <w:rPr>
          <w:rFonts w:ascii="Calibri" w:eastAsia="Times New Roman" w:hAnsi="Calibri" w:cs="Times New Roman"/>
          <w:sz w:val="18"/>
          <w:szCs w:val="18"/>
          <w:lang w:eastAsia="tr-TR"/>
        </w:rPr>
        <w:t xml:space="preserve"> 49), 15 (Ek K-</w:t>
      </w:r>
      <w:r w:rsidRPr="005A0B3B">
        <w:rPr>
          <w:rFonts w:ascii="Calibri" w:eastAsia="Times New Roman" w:hAnsi="Calibri" w:cs="Times New Roman"/>
          <w:i/>
          <w:sz w:val="18"/>
          <w:szCs w:val="18"/>
          <w:lang w:eastAsia="tr-TR"/>
        </w:rPr>
        <w:t>sayfa</w:t>
      </w:r>
      <w:r w:rsidRPr="005A0B3B">
        <w:rPr>
          <w:rFonts w:ascii="Calibri" w:eastAsia="Times New Roman" w:hAnsi="Calibri" w:cs="Times New Roman"/>
          <w:sz w:val="18"/>
          <w:szCs w:val="18"/>
          <w:lang w:eastAsia="tr-TR"/>
        </w:rPr>
        <w:t xml:space="preserve"> 54) </w:t>
      </w:r>
    </w:p>
    <w:p w:rsidR="007225B4" w:rsidRPr="005A0B3B" w:rsidRDefault="007225B4" w:rsidP="007225B4">
      <w:pPr>
        <w:numPr>
          <w:ilvl w:val="0"/>
          <w:numId w:val="7"/>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2013-14 ile 2015-16 arasında Güney Londra Sağlık Hizmetleri Vakfı bünyesindeki tıbbi personel ve hemşire sayısında sırasıyla %16,4 ve %17,2 oranında azatlıma gidilmesi 2 (</w:t>
      </w:r>
      <w:r w:rsidRPr="005A0B3B">
        <w:rPr>
          <w:rFonts w:ascii="Calibri" w:eastAsia="Times New Roman" w:hAnsi="Calibri" w:cs="Times New Roman"/>
          <w:i/>
          <w:sz w:val="18"/>
          <w:szCs w:val="18"/>
          <w:lang w:eastAsia="tr-TR"/>
        </w:rPr>
        <w:t>sayfa</w:t>
      </w:r>
      <w:r w:rsidRPr="005A0B3B">
        <w:rPr>
          <w:rFonts w:ascii="Calibri" w:eastAsia="Times New Roman" w:hAnsi="Calibri" w:cs="Times New Roman"/>
          <w:sz w:val="18"/>
          <w:szCs w:val="18"/>
          <w:lang w:eastAsia="tr-TR"/>
        </w:rPr>
        <w:t xml:space="preserve"> 51) </w:t>
      </w:r>
    </w:p>
    <w:p w:rsidR="007225B4" w:rsidRPr="005A0B3B" w:rsidRDefault="007225B4" w:rsidP="007225B4">
      <w:pPr>
        <w:numPr>
          <w:ilvl w:val="0"/>
          <w:numId w:val="7"/>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Lewisham Hastanesindeki kaza ve acil durum bölümünün, 24/7 hizmet veren yetişkin ameliyat ve acil tıbbi müdahale bölümlerinin, kadın-doğum biriminin, kritik bakım biriminin ve iki bağımsız birimin (pediatri ve </w:t>
      </w:r>
      <w:proofErr w:type="gramStart"/>
      <w:r w:rsidRPr="005A0B3B">
        <w:rPr>
          <w:rFonts w:ascii="Calibri" w:eastAsia="Times New Roman" w:hAnsi="Calibri" w:cs="Times New Roman"/>
          <w:sz w:val="18"/>
          <w:szCs w:val="18"/>
          <w:lang w:eastAsia="tr-TR"/>
        </w:rPr>
        <w:t>kompleks</w:t>
      </w:r>
      <w:proofErr w:type="gramEnd"/>
      <w:r w:rsidRPr="005A0B3B">
        <w:rPr>
          <w:rFonts w:ascii="Calibri" w:eastAsia="Times New Roman" w:hAnsi="Calibri" w:cs="Times New Roman"/>
          <w:sz w:val="18"/>
          <w:szCs w:val="18"/>
          <w:lang w:eastAsia="tr-TR"/>
        </w:rPr>
        <w:t xml:space="preserve"> ameliyat) kapatılması (2) (şekil 38-</w:t>
      </w:r>
      <w:r w:rsidRPr="005A0B3B">
        <w:rPr>
          <w:rFonts w:ascii="Calibri" w:eastAsia="Times New Roman" w:hAnsi="Calibri" w:cs="Times New Roman"/>
          <w:i/>
          <w:sz w:val="18"/>
          <w:szCs w:val="18"/>
          <w:lang w:eastAsia="tr-TR"/>
        </w:rPr>
        <w:t>sayfa</w:t>
      </w:r>
      <w:r w:rsidRPr="005A0B3B">
        <w:rPr>
          <w:rFonts w:ascii="Calibri" w:eastAsia="Times New Roman" w:hAnsi="Calibri" w:cs="Times New Roman"/>
          <w:sz w:val="18"/>
          <w:szCs w:val="18"/>
          <w:lang w:eastAsia="tr-TR"/>
        </w:rPr>
        <w:t xml:space="preserve"> 90) </w:t>
      </w:r>
    </w:p>
    <w:p w:rsidR="007225B4" w:rsidRPr="005A0B3B" w:rsidRDefault="007225B4" w:rsidP="007225B4">
      <w:pPr>
        <w:numPr>
          <w:ilvl w:val="0"/>
          <w:numId w:val="7"/>
        </w:num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GLSHV’nin</w:t>
      </w:r>
      <w:proofErr w:type="spellEnd"/>
      <w:r w:rsidRPr="005A0B3B">
        <w:rPr>
          <w:rFonts w:ascii="Calibri" w:eastAsia="Times New Roman" w:hAnsi="Calibri" w:cs="Times New Roman"/>
          <w:sz w:val="18"/>
          <w:szCs w:val="18"/>
          <w:lang w:eastAsia="tr-TR"/>
        </w:rPr>
        <w:t xml:space="preserve"> dağıtılması; a</w:t>
      </w:r>
      <w:proofErr w:type="gramStart"/>
      <w:r w:rsidRPr="005A0B3B">
        <w:rPr>
          <w:rFonts w:ascii="Calibri" w:eastAsia="Times New Roman" w:hAnsi="Calibri" w:cs="Times New Roman"/>
          <w:sz w:val="18"/>
          <w:szCs w:val="18"/>
          <w:lang w:eastAsia="tr-TR"/>
        </w:rPr>
        <w:t>)</w:t>
      </w:r>
      <w:proofErr w:type="gram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QMS’nin</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Oxleas</w:t>
      </w:r>
      <w:proofErr w:type="spellEnd"/>
      <w:r w:rsidRPr="005A0B3B">
        <w:rPr>
          <w:rFonts w:ascii="Calibri" w:eastAsia="Times New Roman" w:hAnsi="Calibri" w:cs="Times New Roman"/>
          <w:sz w:val="18"/>
          <w:szCs w:val="18"/>
          <w:lang w:eastAsia="tr-TR"/>
        </w:rPr>
        <w:t xml:space="preserve"> USH Vakfıyla birleştirilmesi b) QEH ile </w:t>
      </w:r>
      <w:proofErr w:type="spellStart"/>
      <w:r w:rsidRPr="005A0B3B">
        <w:rPr>
          <w:rFonts w:ascii="Calibri" w:eastAsia="Times New Roman" w:hAnsi="Calibri" w:cs="Times New Roman"/>
          <w:sz w:val="18"/>
          <w:szCs w:val="18"/>
          <w:lang w:eastAsia="tr-TR"/>
        </w:rPr>
        <w:t>LEW’in</w:t>
      </w:r>
      <w:proofErr w:type="spellEnd"/>
      <w:r w:rsidRPr="005A0B3B">
        <w:rPr>
          <w:rFonts w:ascii="Calibri" w:eastAsia="Times New Roman" w:hAnsi="Calibri" w:cs="Times New Roman"/>
          <w:sz w:val="18"/>
          <w:szCs w:val="18"/>
          <w:lang w:eastAsia="tr-TR"/>
        </w:rPr>
        <w:t xml:space="preserve"> birlikte yeni bir USH Vakfı oluşturması (c) </w:t>
      </w:r>
      <w:proofErr w:type="spellStart"/>
      <w:r w:rsidRPr="005A0B3B">
        <w:rPr>
          <w:rFonts w:ascii="Calibri" w:eastAsia="Times New Roman" w:hAnsi="Calibri" w:cs="Times New Roman"/>
          <w:sz w:val="18"/>
          <w:szCs w:val="18"/>
          <w:lang w:eastAsia="tr-TR"/>
        </w:rPr>
        <w:t>PRUH’un</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King’s</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College</w:t>
      </w:r>
      <w:proofErr w:type="spellEnd"/>
      <w:r w:rsidRPr="005A0B3B">
        <w:rPr>
          <w:rFonts w:ascii="Calibri" w:eastAsia="Times New Roman" w:hAnsi="Calibri" w:cs="Times New Roman"/>
          <w:sz w:val="18"/>
          <w:szCs w:val="18"/>
          <w:lang w:eastAsia="tr-TR"/>
        </w:rPr>
        <w:t xml:space="preserve"> USH Vakfı ile birleşmesi (2) (</w:t>
      </w:r>
      <w:r w:rsidRPr="005A0B3B">
        <w:rPr>
          <w:rFonts w:ascii="Calibri" w:eastAsia="Times New Roman" w:hAnsi="Calibri" w:cs="Times New Roman"/>
          <w:i/>
          <w:sz w:val="18"/>
          <w:szCs w:val="18"/>
          <w:lang w:eastAsia="tr-TR"/>
        </w:rPr>
        <w:t>sayfa</w:t>
      </w:r>
      <w:r w:rsidRPr="005A0B3B">
        <w:rPr>
          <w:rFonts w:ascii="Calibri" w:eastAsia="Times New Roman" w:hAnsi="Calibri" w:cs="Times New Roman"/>
          <w:sz w:val="18"/>
          <w:szCs w:val="18"/>
          <w:lang w:eastAsia="tr-TR"/>
        </w:rPr>
        <w:t xml:space="preserve"> 28) </w:t>
      </w:r>
    </w:p>
    <w:p w:rsidR="007225B4" w:rsidRPr="005A0B3B" w:rsidRDefault="007225B4" w:rsidP="007225B4">
      <w:pPr>
        <w:numPr>
          <w:ilvl w:val="0"/>
          <w:numId w:val="7"/>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GLSHV dağıtıldıktan sonra Bakanlık bu kuruluşun borcunu tasfiye edecek ve QUEH ile </w:t>
      </w:r>
      <w:proofErr w:type="spellStart"/>
      <w:r w:rsidRPr="005A0B3B">
        <w:rPr>
          <w:rFonts w:ascii="Calibri" w:eastAsia="Times New Roman" w:hAnsi="Calibri" w:cs="Times New Roman"/>
          <w:sz w:val="18"/>
          <w:szCs w:val="18"/>
          <w:lang w:eastAsia="tr-TR"/>
        </w:rPr>
        <w:t>PRUH’un</w:t>
      </w:r>
      <w:proofErr w:type="spellEnd"/>
      <w:r w:rsidRPr="005A0B3B">
        <w:rPr>
          <w:rFonts w:ascii="Calibri" w:eastAsia="Times New Roman" w:hAnsi="Calibri" w:cs="Times New Roman"/>
          <w:sz w:val="18"/>
          <w:szCs w:val="18"/>
          <w:lang w:eastAsia="tr-TR"/>
        </w:rPr>
        <w:t xml:space="preserve"> aşırı maliyetli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sözleşmelerini karşılamak üzere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operatörlerine doğrudan destek sağlayacaktır. 2 (</w:t>
      </w:r>
      <w:r w:rsidRPr="005A0B3B">
        <w:rPr>
          <w:rFonts w:ascii="Calibri" w:eastAsia="Times New Roman" w:hAnsi="Calibri" w:cs="Times New Roman"/>
          <w:i/>
          <w:sz w:val="18"/>
          <w:szCs w:val="18"/>
          <w:lang w:eastAsia="tr-TR"/>
        </w:rPr>
        <w:t>sayfa</w:t>
      </w:r>
      <w:r w:rsidRPr="005A0B3B">
        <w:rPr>
          <w:rFonts w:ascii="Calibri" w:eastAsia="Times New Roman" w:hAnsi="Calibri" w:cs="Times New Roman"/>
          <w:sz w:val="18"/>
          <w:szCs w:val="18"/>
          <w:lang w:eastAsia="tr-TR"/>
        </w:rPr>
        <w:t xml:space="preserve"> 60)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Şimdi, VÖİ tavsiyelerine temel, Bakanlığın ise onayına gerekçe oluşturan analizi inceleyeceğiz.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GD Londra’daki yeniden yapılanmanın planlanmasından ya da onaylanmasından sorumlu olan kuruluşlar  </w:t>
      </w:r>
    </w:p>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VÖİ’ye</w:t>
      </w:r>
      <w:proofErr w:type="spellEnd"/>
      <w:r w:rsidRPr="005A0B3B">
        <w:rPr>
          <w:rFonts w:ascii="Calibri" w:eastAsia="Times New Roman" w:hAnsi="Calibri" w:cs="Times New Roman"/>
          <w:sz w:val="18"/>
          <w:szCs w:val="18"/>
          <w:lang w:eastAsia="tr-TR"/>
        </w:rPr>
        <w:t xml:space="preserve"> göre, klinik görevlendirme grupları (KGG)  temel halk sağlığı hizmetlerinin planlanmasından sorumluyken akut hizmetlere ilişkin planlama idarecinin sorumluluğundadır: </w:t>
      </w:r>
    </w:p>
    <w:p w:rsidR="007225B4" w:rsidRPr="005A0B3B" w:rsidRDefault="007225B4" w:rsidP="007225B4">
      <w:pPr>
        <w:ind w:left="708"/>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 “Temel halk sağlığı hizmetlerinin geliştirilmesi, </w:t>
      </w:r>
      <w:proofErr w:type="spellStart"/>
      <w:r w:rsidRPr="005A0B3B">
        <w:rPr>
          <w:rFonts w:ascii="Calibri" w:eastAsia="Times New Roman" w:hAnsi="Calibri" w:cs="Times New Roman"/>
          <w:sz w:val="18"/>
          <w:szCs w:val="18"/>
          <w:lang w:eastAsia="tr-TR"/>
        </w:rPr>
        <w:t>KGG’lerin</w:t>
      </w:r>
      <w:proofErr w:type="spellEnd"/>
      <w:r w:rsidRPr="005A0B3B">
        <w:rPr>
          <w:rFonts w:ascii="Calibri" w:eastAsia="Times New Roman" w:hAnsi="Calibri" w:cs="Times New Roman"/>
          <w:sz w:val="18"/>
          <w:szCs w:val="18"/>
          <w:lang w:eastAsia="tr-TR"/>
        </w:rPr>
        <w:t xml:space="preserve"> ve faaliyet </w:t>
      </w:r>
      <w:proofErr w:type="gramStart"/>
      <w:r w:rsidRPr="005A0B3B">
        <w:rPr>
          <w:rFonts w:ascii="Calibri" w:eastAsia="Times New Roman" w:hAnsi="Calibri" w:cs="Times New Roman"/>
          <w:sz w:val="18"/>
          <w:szCs w:val="18"/>
          <w:lang w:eastAsia="tr-TR"/>
        </w:rPr>
        <w:t>projeksiyonlarının</w:t>
      </w:r>
      <w:proofErr w:type="gramEnd"/>
      <w:r w:rsidRPr="005A0B3B">
        <w:rPr>
          <w:rFonts w:ascii="Calibri" w:eastAsia="Times New Roman" w:hAnsi="Calibri" w:cs="Times New Roman"/>
          <w:sz w:val="18"/>
          <w:szCs w:val="18"/>
          <w:lang w:eastAsia="tr-TR"/>
        </w:rPr>
        <w:t xml:space="preserve"> temel amacını oluşturmaktadır ve </w:t>
      </w:r>
      <w:proofErr w:type="spellStart"/>
      <w:r w:rsidRPr="005A0B3B">
        <w:rPr>
          <w:rFonts w:ascii="Calibri" w:eastAsia="Times New Roman" w:hAnsi="Calibri" w:cs="Times New Roman"/>
          <w:sz w:val="18"/>
          <w:szCs w:val="18"/>
          <w:lang w:eastAsia="tr-TR"/>
        </w:rPr>
        <w:t>VÖİ’nin</w:t>
      </w:r>
      <w:proofErr w:type="spellEnd"/>
      <w:r w:rsidRPr="005A0B3B">
        <w:rPr>
          <w:rFonts w:ascii="Calibri" w:eastAsia="Times New Roman" w:hAnsi="Calibri" w:cs="Times New Roman"/>
          <w:sz w:val="18"/>
          <w:szCs w:val="18"/>
          <w:lang w:eastAsia="tr-TR"/>
        </w:rPr>
        <w:t xml:space="preserve"> hastane temelli hizmetleri değerlendirmesi açısından sağlam bir platformdur. Ancak, </w:t>
      </w:r>
      <w:proofErr w:type="spellStart"/>
      <w:r w:rsidRPr="005A0B3B">
        <w:rPr>
          <w:rFonts w:ascii="Calibri" w:eastAsia="Times New Roman" w:hAnsi="Calibri" w:cs="Times New Roman"/>
          <w:sz w:val="18"/>
          <w:szCs w:val="18"/>
          <w:lang w:eastAsia="tr-TR"/>
        </w:rPr>
        <w:t>VÖİ’nin</w:t>
      </w:r>
      <w:proofErr w:type="spellEnd"/>
      <w:r w:rsidRPr="005A0B3B">
        <w:rPr>
          <w:rFonts w:ascii="Calibri" w:eastAsia="Times New Roman" w:hAnsi="Calibri" w:cs="Times New Roman"/>
          <w:sz w:val="18"/>
          <w:szCs w:val="18"/>
          <w:lang w:eastAsia="tr-TR"/>
        </w:rPr>
        <w:t xml:space="preserve"> görevi klinik ve finansal açıdan sürdürülebilir hizmetler sağlayacak tavsiyelerde bulunmak olduğundan, burada tam olarak değerlendirilmesi gereken akut hizmetlerin mahiyeti ve veriliş biçimidir.”(2)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Altı KGG</w:t>
      </w:r>
      <w:r w:rsidRPr="005A0B3B">
        <w:rPr>
          <w:rFonts w:ascii="Calibri" w:eastAsia="Times New Roman" w:hAnsi="Calibri" w:cs="Times New Roman"/>
          <w:sz w:val="18"/>
          <w:szCs w:val="18"/>
          <w:vertAlign w:val="superscript"/>
          <w:lang w:eastAsia="tr-TR"/>
        </w:rPr>
        <w:footnoteReference w:id="9"/>
      </w:r>
      <w:r w:rsidRPr="005A0B3B">
        <w:rPr>
          <w:rFonts w:ascii="Calibri" w:eastAsia="Times New Roman" w:hAnsi="Calibri" w:cs="Times New Roman"/>
          <w:sz w:val="18"/>
          <w:szCs w:val="18"/>
          <w:lang w:eastAsia="tr-TR"/>
        </w:rPr>
        <w:t xml:space="preserve"> sürecin bir parçası olarak hizmetlere yönelik bir strateji geliştirmiştir:  </w:t>
      </w:r>
    </w:p>
    <w:p w:rsidR="007225B4" w:rsidRPr="005A0B3B" w:rsidRDefault="007225B4" w:rsidP="007225B4">
      <w:pPr>
        <w:ind w:left="708"/>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 “VÖİ ekibi, eldeki mevcut finansal kaynaklarla </w:t>
      </w:r>
      <w:proofErr w:type="spellStart"/>
      <w:r w:rsidRPr="005A0B3B">
        <w:rPr>
          <w:rFonts w:ascii="Calibri" w:eastAsia="Times New Roman" w:hAnsi="Calibri" w:cs="Times New Roman"/>
          <w:sz w:val="18"/>
          <w:szCs w:val="18"/>
          <w:lang w:eastAsia="tr-TR"/>
        </w:rPr>
        <w:t>USH’nin</w:t>
      </w:r>
      <w:proofErr w:type="spellEnd"/>
      <w:r w:rsidRPr="005A0B3B">
        <w:rPr>
          <w:rFonts w:ascii="Calibri" w:eastAsia="Times New Roman" w:hAnsi="Calibri" w:cs="Times New Roman"/>
          <w:sz w:val="18"/>
          <w:szCs w:val="18"/>
          <w:lang w:eastAsia="tr-TR"/>
        </w:rPr>
        <w:t xml:space="preserve"> güneydoğu Londra’daki hizmet sunumunun kalite açısından nasıl geliştirilebileceği konusunda özel görevlilerle, klinik hekimleriyle ve diğer paydaşlarla çalışmalar yürütmüştür. </w:t>
      </w:r>
      <w:proofErr w:type="spellStart"/>
      <w:r w:rsidRPr="005A0B3B">
        <w:rPr>
          <w:rFonts w:ascii="Calibri" w:eastAsia="Times New Roman" w:hAnsi="Calibri" w:cs="Times New Roman"/>
          <w:sz w:val="18"/>
          <w:szCs w:val="18"/>
          <w:lang w:eastAsia="tr-TR"/>
        </w:rPr>
        <w:t>KGG’lerin</w:t>
      </w:r>
      <w:proofErr w:type="spellEnd"/>
      <w:r w:rsidRPr="005A0B3B">
        <w:rPr>
          <w:rFonts w:ascii="Calibri" w:eastAsia="Times New Roman" w:hAnsi="Calibri" w:cs="Times New Roman"/>
          <w:sz w:val="18"/>
          <w:szCs w:val="18"/>
          <w:lang w:eastAsia="tr-TR"/>
        </w:rPr>
        <w:t xml:space="preserve"> topluluk temelli hizmetler için bir strateji geliştirmeleri de bu kapsamda yer almaktadır. Bu strateji kendilerinin halka yönelik temel sağlık hizmetleri, </w:t>
      </w:r>
      <w:proofErr w:type="gramStart"/>
      <w:r w:rsidRPr="005A0B3B">
        <w:rPr>
          <w:rFonts w:ascii="Calibri" w:eastAsia="Times New Roman" w:hAnsi="Calibri" w:cs="Times New Roman"/>
          <w:sz w:val="18"/>
          <w:szCs w:val="18"/>
          <w:lang w:eastAsia="tr-TR"/>
        </w:rPr>
        <w:t>entegre</w:t>
      </w:r>
      <w:proofErr w:type="gramEnd"/>
      <w:r w:rsidRPr="005A0B3B">
        <w:rPr>
          <w:rFonts w:ascii="Calibri" w:eastAsia="Times New Roman" w:hAnsi="Calibri" w:cs="Times New Roman"/>
          <w:sz w:val="18"/>
          <w:szCs w:val="18"/>
          <w:lang w:eastAsia="tr-TR"/>
        </w:rPr>
        <w:t xml:space="preserve"> hizmetler ve planlı bakım hizmetleri gibi konulardaki özlemlerini yansıtmaktadır.”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“Güneydoğu Londra’da topluluk temelli hizmetler stratejisi” VÖİ nihai raporuna Ek 0 olarak eklenmiştir. Bununla birlikte, planlama ve yatırım verileri yetersizdir.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 xml:space="preserve">KGG web sayfalarında topluluk planlama verilerini bulamadık. Gerçekten de, altı web sayfasından üçünün </w:t>
      </w:r>
      <w:r w:rsidRPr="005A0B3B">
        <w:rPr>
          <w:rFonts w:ascii="Calibri" w:eastAsia="Times New Roman" w:hAnsi="Calibri" w:cs="Times New Roman"/>
          <w:sz w:val="18"/>
          <w:szCs w:val="18"/>
          <w:vertAlign w:val="superscript"/>
          <w:lang w:eastAsia="tr-TR"/>
        </w:rPr>
        <w:footnoteReference w:id="10"/>
      </w:r>
      <w:r w:rsidRPr="005A0B3B">
        <w:rPr>
          <w:rFonts w:ascii="Calibri" w:eastAsia="Times New Roman" w:hAnsi="Calibri" w:cs="Times New Roman"/>
          <w:sz w:val="18"/>
          <w:szCs w:val="18"/>
          <w:lang w:eastAsia="tr-TR"/>
        </w:rPr>
        <w:t xml:space="preserve"> URL aracılığıyla girildiğinde faal durumda olmadığı görüldü. USH İngiltere KGG rehberi bunlar yerine bizi Britanya Kütüphanesi arşivlerine yönlendirdi. Hiçbir belge bulunamadı.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Tıp Dergisinde (BMJ) yakınlarda yayınlanan bir editör yazısı, özellikle yaşlılar söz konusu olduğunda topluluk temelli iyi bir bakımın ya da artan harcamaların hastane kabullerinde azalmaya yol açtığına ilişkin hiçbir kanıt olmadığını belirtiyordu</w:t>
      </w:r>
      <w:r w:rsidRPr="005A0B3B">
        <w:rPr>
          <w:rFonts w:ascii="Calibri" w:eastAsia="Times New Roman" w:hAnsi="Calibri" w:cs="Times New Roman"/>
          <w:sz w:val="18"/>
          <w:szCs w:val="18"/>
          <w:vertAlign w:val="superscript"/>
          <w:lang w:eastAsia="tr-TR"/>
        </w:rPr>
        <w:footnoteReference w:id="11"/>
      </w:r>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Bölüm 1: GD Londra’da hükümet politikaları ve finansal durum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Maliyetlerde artış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Sağlık Bakanlığı’na göre </w:t>
      </w:r>
      <w:proofErr w:type="spellStart"/>
      <w:r w:rsidRPr="005A0B3B">
        <w:rPr>
          <w:rFonts w:ascii="Calibri" w:eastAsia="Times New Roman" w:hAnsi="Calibri" w:cs="Times New Roman"/>
          <w:sz w:val="18"/>
          <w:szCs w:val="18"/>
          <w:lang w:eastAsia="tr-TR"/>
        </w:rPr>
        <w:t>GLSHV’nin</w:t>
      </w:r>
      <w:proofErr w:type="spellEnd"/>
      <w:r w:rsidRPr="005A0B3B">
        <w:rPr>
          <w:rFonts w:ascii="Calibri" w:eastAsia="Times New Roman" w:hAnsi="Calibri" w:cs="Times New Roman"/>
          <w:sz w:val="18"/>
          <w:szCs w:val="18"/>
          <w:lang w:eastAsia="tr-TR"/>
        </w:rPr>
        <w:t xml:space="preserve"> yeniden yapılandırılmasının başlıca gerekçesi şudur: “uzun süredir devam eden performans yetersizliği (…) son yedi yıl içinde görüldüğü gibi, bir yandan gelirlerle harcamaları dengelerken diğer yandan kaliteli hizmet vermede başarısızlık.”</w:t>
      </w:r>
      <w:r w:rsidRPr="005A0B3B">
        <w:rPr>
          <w:rFonts w:ascii="Calibri" w:eastAsia="Times New Roman" w:hAnsi="Calibri" w:cs="Times New Roman"/>
          <w:sz w:val="18"/>
          <w:szCs w:val="18"/>
          <w:vertAlign w:val="superscript"/>
          <w:lang w:eastAsia="tr-TR"/>
        </w:rPr>
        <w:footnoteReference w:id="12"/>
      </w:r>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Bakanlığa göre bunun sonucunda ortaya çıkar durum da şöyledir: “(GLSHV) 2011-12 döneminde İngiltere’deki 248 USH sunucusu kuruluştan herhangi birine göre en büyük finansal açıkla karşılaşmıştır ve bu açık £65 milyonun üzerindedir”(12) ve Vakıf “her hafta gelirinden 1 milyon sterlin daha fazla harcama yapmaktadır”.</w:t>
      </w:r>
      <w:r w:rsidRPr="005A0B3B">
        <w:rPr>
          <w:rFonts w:ascii="Calibri" w:eastAsia="Times New Roman" w:hAnsi="Calibri" w:cs="Times New Roman"/>
          <w:sz w:val="18"/>
          <w:szCs w:val="18"/>
          <w:vertAlign w:val="superscript"/>
          <w:lang w:eastAsia="tr-TR"/>
        </w:rPr>
        <w:footnoteReference w:id="13"/>
      </w:r>
      <w:r w:rsidRPr="005A0B3B">
        <w:rPr>
          <w:rFonts w:ascii="Calibri" w:eastAsia="Times New Roman" w:hAnsi="Calibri" w:cs="Times New Roman"/>
          <w:sz w:val="18"/>
          <w:szCs w:val="18"/>
          <w:lang w:eastAsia="tr-TR"/>
        </w:rPr>
        <w:t xml:space="preserve"> </w:t>
      </w:r>
    </w:p>
    <w:p w:rsidR="007225B4" w:rsidRPr="005A0B3B" w:rsidRDefault="005A0B3B"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KÖO</w:t>
      </w:r>
      <w:r w:rsidR="007225B4" w:rsidRPr="005A0B3B">
        <w:rPr>
          <w:rFonts w:ascii="Calibri" w:eastAsia="Times New Roman" w:hAnsi="Calibri" w:cs="Times New Roman"/>
          <w:sz w:val="18"/>
          <w:szCs w:val="18"/>
          <w:lang w:eastAsia="tr-TR"/>
        </w:rPr>
        <w:t>’nin</w:t>
      </w:r>
      <w:proofErr w:type="spellEnd"/>
      <w:r w:rsidR="007225B4" w:rsidRPr="005A0B3B">
        <w:rPr>
          <w:rFonts w:ascii="Calibri" w:eastAsia="Times New Roman" w:hAnsi="Calibri" w:cs="Times New Roman"/>
          <w:sz w:val="18"/>
          <w:szCs w:val="18"/>
          <w:lang w:eastAsia="tr-TR"/>
        </w:rPr>
        <w:t xml:space="preserve"> verileri ve rakamları farklı olmakla birlikte, Bakanlığa ve </w:t>
      </w:r>
      <w:proofErr w:type="spellStart"/>
      <w:r w:rsidR="007225B4" w:rsidRPr="005A0B3B">
        <w:rPr>
          <w:rFonts w:ascii="Calibri" w:eastAsia="Times New Roman" w:hAnsi="Calibri" w:cs="Times New Roman"/>
          <w:sz w:val="18"/>
          <w:szCs w:val="18"/>
          <w:lang w:eastAsia="tr-TR"/>
        </w:rPr>
        <w:t>VÖİ’ye</w:t>
      </w:r>
      <w:proofErr w:type="spellEnd"/>
      <w:r w:rsidR="007225B4" w:rsidRPr="005A0B3B">
        <w:rPr>
          <w:rFonts w:ascii="Calibri" w:eastAsia="Times New Roman" w:hAnsi="Calibri" w:cs="Times New Roman"/>
          <w:sz w:val="18"/>
          <w:szCs w:val="18"/>
          <w:lang w:eastAsia="tr-TR"/>
        </w:rPr>
        <w:t xml:space="preserve"> göre </w:t>
      </w:r>
      <w:proofErr w:type="spellStart"/>
      <w:r w:rsidRPr="005A0B3B">
        <w:rPr>
          <w:rFonts w:ascii="Calibri" w:eastAsia="Times New Roman" w:hAnsi="Calibri" w:cs="Times New Roman"/>
          <w:sz w:val="18"/>
          <w:szCs w:val="18"/>
          <w:lang w:eastAsia="tr-TR"/>
        </w:rPr>
        <w:t>KÖO</w:t>
      </w:r>
      <w:r w:rsidR="007225B4" w:rsidRPr="005A0B3B">
        <w:rPr>
          <w:rFonts w:ascii="Calibri" w:eastAsia="Times New Roman" w:hAnsi="Calibri" w:cs="Times New Roman"/>
          <w:sz w:val="18"/>
          <w:szCs w:val="18"/>
          <w:lang w:eastAsia="tr-TR"/>
        </w:rPr>
        <w:t>’nin</w:t>
      </w:r>
      <w:proofErr w:type="spellEnd"/>
      <w:r w:rsidR="007225B4" w:rsidRPr="005A0B3B">
        <w:rPr>
          <w:rFonts w:ascii="Calibri" w:eastAsia="Times New Roman" w:hAnsi="Calibri" w:cs="Times New Roman"/>
          <w:sz w:val="18"/>
          <w:szCs w:val="18"/>
          <w:lang w:eastAsia="tr-TR"/>
        </w:rPr>
        <w:t xml:space="preserve"> yıllık giderleri </w:t>
      </w:r>
      <w:proofErr w:type="spellStart"/>
      <w:r w:rsidR="007225B4" w:rsidRPr="005A0B3B">
        <w:rPr>
          <w:rFonts w:ascii="Calibri" w:eastAsia="Times New Roman" w:hAnsi="Calibri" w:cs="Times New Roman"/>
          <w:sz w:val="18"/>
          <w:szCs w:val="18"/>
          <w:lang w:eastAsia="tr-TR"/>
        </w:rPr>
        <w:t>GLSHV’deki</w:t>
      </w:r>
      <w:proofErr w:type="spellEnd"/>
      <w:r w:rsidR="007225B4" w:rsidRPr="005A0B3B">
        <w:rPr>
          <w:rFonts w:ascii="Calibri" w:eastAsia="Times New Roman" w:hAnsi="Calibri" w:cs="Times New Roman"/>
          <w:sz w:val="18"/>
          <w:szCs w:val="18"/>
          <w:lang w:eastAsia="tr-TR"/>
        </w:rPr>
        <w:t xml:space="preserve"> açıkların başlıca nedenidir.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Bakanlık, parlamentoya sunduğu açıklamada şöyle demektedir: </w:t>
      </w:r>
    </w:p>
    <w:p w:rsidR="007225B4" w:rsidRPr="005A0B3B" w:rsidRDefault="007225B4" w:rsidP="007225B4">
      <w:pPr>
        <w:ind w:left="708"/>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w:t>
      </w:r>
      <w:proofErr w:type="spellStart"/>
      <w:r w:rsidRPr="005A0B3B">
        <w:rPr>
          <w:rFonts w:ascii="Calibri" w:eastAsia="Times New Roman" w:hAnsi="Calibri" w:cs="Times New Roman"/>
          <w:sz w:val="18"/>
          <w:szCs w:val="18"/>
          <w:lang w:eastAsia="tr-TR"/>
        </w:rPr>
        <w:t>GLSHV’nin</w:t>
      </w:r>
      <w:proofErr w:type="spellEnd"/>
      <w:r w:rsidRPr="005A0B3B">
        <w:rPr>
          <w:rFonts w:ascii="Calibri" w:eastAsia="Times New Roman" w:hAnsi="Calibri" w:cs="Times New Roman"/>
          <w:sz w:val="18"/>
          <w:szCs w:val="18"/>
          <w:lang w:eastAsia="tr-TR"/>
        </w:rPr>
        <w:t xml:space="preserve"> finansal durumundaki sıkıntının başlıca nedeni beş (böyle denilmiş) </w:t>
      </w:r>
      <w:proofErr w:type="spellStart"/>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’ye</w:t>
      </w:r>
      <w:proofErr w:type="spellEnd"/>
      <w:r w:rsidRPr="005A0B3B">
        <w:rPr>
          <w:rFonts w:ascii="Calibri" w:eastAsia="Times New Roman" w:hAnsi="Calibri" w:cs="Times New Roman"/>
          <w:sz w:val="18"/>
          <w:szCs w:val="18"/>
          <w:lang w:eastAsia="tr-TR"/>
        </w:rPr>
        <w:t xml:space="preserve"> olan borcun yıllık 89 milyon sterlinlik maliyetidir; Vakfın yıllık cirosunun %18’i sözleşmelere gitmektedir.”</w:t>
      </w:r>
      <w:r w:rsidRPr="005A0B3B">
        <w:rPr>
          <w:rFonts w:ascii="Calibri" w:eastAsia="Times New Roman" w:hAnsi="Calibri" w:cs="Times New Roman"/>
          <w:sz w:val="18"/>
          <w:szCs w:val="18"/>
          <w:vertAlign w:val="superscript"/>
          <w:lang w:eastAsia="tr-TR"/>
        </w:rPr>
        <w:footnoteReference w:id="14"/>
      </w:r>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Ne var ki, </w:t>
      </w:r>
      <w:proofErr w:type="spellStart"/>
      <w:r w:rsidRPr="005A0B3B">
        <w:rPr>
          <w:rFonts w:ascii="Calibri" w:eastAsia="Times New Roman" w:hAnsi="Calibri" w:cs="Times New Roman"/>
          <w:sz w:val="18"/>
          <w:szCs w:val="18"/>
          <w:lang w:eastAsia="tr-TR"/>
        </w:rPr>
        <w:t>VÖİ’ye</w:t>
      </w:r>
      <w:proofErr w:type="spellEnd"/>
      <w:r w:rsidRPr="005A0B3B">
        <w:rPr>
          <w:rFonts w:ascii="Calibri" w:eastAsia="Times New Roman" w:hAnsi="Calibri" w:cs="Times New Roman"/>
          <w:sz w:val="18"/>
          <w:szCs w:val="18"/>
          <w:lang w:eastAsia="tr-TR"/>
        </w:rPr>
        <w:t xml:space="preserve"> göre yıllık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gideri £69 milyondur ve bu da gelirin %16’sına tekabül etmektedir. Ancak burada yıl belirtilmemiştir</w:t>
      </w:r>
      <w:r w:rsidRPr="005A0B3B">
        <w:rPr>
          <w:rFonts w:ascii="Calibri" w:eastAsia="Times New Roman" w:hAnsi="Calibri" w:cs="Times New Roman"/>
          <w:sz w:val="18"/>
          <w:szCs w:val="18"/>
          <w:vertAlign w:val="superscript"/>
          <w:lang w:eastAsia="tr-TR"/>
        </w:rPr>
        <w:footnoteReference w:id="15"/>
      </w:r>
      <w:r w:rsidRPr="005A0B3B">
        <w:rPr>
          <w:rFonts w:ascii="Calibri" w:eastAsia="Times New Roman" w:hAnsi="Calibri" w:cs="Times New Roman"/>
          <w:sz w:val="18"/>
          <w:szCs w:val="18"/>
          <w:lang w:eastAsia="tr-TR"/>
        </w:rPr>
        <w:t>.</w:t>
      </w:r>
    </w:p>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GLSHV’de</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Queen</w:t>
      </w:r>
      <w:proofErr w:type="spellEnd"/>
      <w:r w:rsidRPr="005A0B3B">
        <w:rPr>
          <w:rFonts w:ascii="Calibri" w:eastAsia="Times New Roman" w:hAnsi="Calibri" w:cs="Times New Roman"/>
          <w:sz w:val="18"/>
          <w:szCs w:val="18"/>
          <w:lang w:eastAsia="tr-TR"/>
        </w:rPr>
        <w:t xml:space="preserve"> Elizabeth Hastanesi (QEH) ve </w:t>
      </w:r>
      <w:proofErr w:type="spellStart"/>
      <w:r w:rsidRPr="005A0B3B">
        <w:rPr>
          <w:rFonts w:ascii="Calibri" w:eastAsia="Times New Roman" w:hAnsi="Calibri" w:cs="Times New Roman"/>
          <w:sz w:val="18"/>
          <w:szCs w:val="18"/>
          <w:lang w:eastAsia="tr-TR"/>
        </w:rPr>
        <w:t>Princess</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Royal</w:t>
      </w:r>
      <w:proofErr w:type="spellEnd"/>
      <w:r w:rsidRPr="005A0B3B">
        <w:rPr>
          <w:rFonts w:ascii="Calibri" w:eastAsia="Times New Roman" w:hAnsi="Calibri" w:cs="Times New Roman"/>
          <w:sz w:val="18"/>
          <w:szCs w:val="18"/>
          <w:lang w:eastAsia="tr-TR"/>
        </w:rPr>
        <w:t xml:space="preserve"> Üniversite Hastanesi (PRUH) gibi iki geniş sistem de dâhil olmak üzere altı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sistemi bulunmaktadır</w:t>
      </w:r>
      <w:r w:rsidRPr="005A0B3B">
        <w:rPr>
          <w:rFonts w:ascii="Calibri" w:eastAsia="Times New Roman" w:hAnsi="Calibri" w:cs="Times New Roman"/>
          <w:sz w:val="18"/>
          <w:szCs w:val="18"/>
          <w:vertAlign w:val="superscript"/>
          <w:lang w:eastAsia="tr-TR"/>
        </w:rPr>
        <w:footnoteReference w:id="16"/>
      </w:r>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 xml:space="preserve">VÖİ gelirin yüzdesi olarak toplam sermaye giderlerinin hesabını vermemektedir. Vermiş olsaydı, o zaman toplama yaklaşık £8,5 milyon tutarındaki ‘kamu hissesi sermayesini’ de eklemek gerekirdi (sermaye ücretlendirme rejimi gereği her yıl Hazine’ye ödenmesi gereken faiz).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VÖİ maliyet açısından </w:t>
      </w:r>
      <w:proofErr w:type="spellStart"/>
      <w:r w:rsidRPr="005A0B3B">
        <w:rPr>
          <w:rFonts w:ascii="Calibri" w:eastAsia="Times New Roman" w:hAnsi="Calibri" w:cs="Times New Roman"/>
          <w:sz w:val="18"/>
          <w:szCs w:val="18"/>
          <w:lang w:eastAsia="tr-TR"/>
        </w:rPr>
        <w:t>katlanılabilirlikle</w:t>
      </w:r>
      <w:proofErr w:type="spellEnd"/>
      <w:r w:rsidRPr="005A0B3B">
        <w:rPr>
          <w:rFonts w:ascii="Calibri" w:eastAsia="Times New Roman" w:hAnsi="Calibri" w:cs="Times New Roman"/>
          <w:sz w:val="18"/>
          <w:szCs w:val="18"/>
          <w:lang w:eastAsia="tr-TR"/>
        </w:rPr>
        <w:t xml:space="preserve"> ilgili baskıların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sözleşmelerinin imzalanmasından bu yana sürdüğünü kabul etmekle birlikte, ne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giderlerinin yıl be yıl artmasını ne de bu artışın nedenini açıklamaktadır. Aslında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giderlerinin her yıl gelirden daha büyük bir pay koparmasının nedeni bunun enflasyona endeksli olması (bu nedenle mutlak anlamda artması) ve genel gelirin düşmesidir.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Bu eğilim daha işin en başında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anlaşmalarına yerleşik kılınmıştır.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ve sermaye ücretlendirmeleri ile ilgili daha önceki çalışmamızda göstermiştik: 1998-9 döneminde, </w:t>
      </w:r>
      <w:proofErr w:type="spellStart"/>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w:t>
      </w:r>
      <w:r w:rsidR="005A0B3B">
        <w:rPr>
          <w:rFonts w:ascii="Calibri" w:eastAsia="Times New Roman" w:hAnsi="Calibri" w:cs="Times New Roman"/>
          <w:sz w:val="18"/>
          <w:szCs w:val="18"/>
          <w:lang w:eastAsia="tr-TR"/>
        </w:rPr>
        <w:t>n</w:t>
      </w:r>
      <w:r w:rsidRPr="005A0B3B">
        <w:rPr>
          <w:rFonts w:ascii="Calibri" w:eastAsia="Times New Roman" w:hAnsi="Calibri" w:cs="Times New Roman"/>
          <w:sz w:val="18"/>
          <w:szCs w:val="18"/>
          <w:lang w:eastAsia="tr-TR"/>
        </w:rPr>
        <w:t>d</w:t>
      </w:r>
      <w:r w:rsidR="005A0B3B">
        <w:rPr>
          <w:rFonts w:ascii="Calibri" w:eastAsia="Times New Roman" w:hAnsi="Calibri" w:cs="Times New Roman"/>
          <w:sz w:val="18"/>
          <w:szCs w:val="18"/>
          <w:lang w:eastAsia="tr-TR"/>
        </w:rPr>
        <w:t>a</w:t>
      </w:r>
      <w:r w:rsidRPr="005A0B3B">
        <w:rPr>
          <w:rFonts w:ascii="Calibri" w:eastAsia="Times New Roman" w:hAnsi="Calibri" w:cs="Times New Roman"/>
          <w:sz w:val="18"/>
          <w:szCs w:val="18"/>
          <w:lang w:eastAsia="tr-TR"/>
        </w:rPr>
        <w:t>n</w:t>
      </w:r>
      <w:proofErr w:type="spellEnd"/>
      <w:r w:rsidRPr="005A0B3B">
        <w:rPr>
          <w:rFonts w:ascii="Calibri" w:eastAsia="Times New Roman" w:hAnsi="Calibri" w:cs="Times New Roman"/>
          <w:sz w:val="18"/>
          <w:szCs w:val="18"/>
          <w:lang w:eastAsia="tr-TR"/>
        </w:rPr>
        <w:t xml:space="preserve"> önce </w:t>
      </w:r>
      <w:proofErr w:type="spellStart"/>
      <w:r w:rsidRPr="005A0B3B">
        <w:rPr>
          <w:rFonts w:ascii="Calibri" w:eastAsia="Times New Roman" w:hAnsi="Calibri" w:cs="Times New Roman"/>
          <w:sz w:val="18"/>
          <w:szCs w:val="18"/>
          <w:lang w:eastAsia="tr-TR"/>
        </w:rPr>
        <w:t>Greenwich</w:t>
      </w:r>
      <w:proofErr w:type="spellEnd"/>
      <w:r w:rsidRPr="005A0B3B">
        <w:rPr>
          <w:rFonts w:ascii="Calibri" w:eastAsia="Times New Roman" w:hAnsi="Calibri" w:cs="Times New Roman"/>
          <w:sz w:val="18"/>
          <w:szCs w:val="18"/>
          <w:lang w:eastAsia="tr-TR"/>
        </w:rPr>
        <w:t xml:space="preserve"> Sağlık Hizmetleri gelirlerinin %2,1’ini sermaye geri ödemesine ayırırken </w:t>
      </w:r>
      <w:proofErr w:type="spellStart"/>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’n</w:t>
      </w:r>
      <w:r w:rsidR="005A0B3B">
        <w:rPr>
          <w:rFonts w:ascii="Calibri" w:eastAsia="Times New Roman" w:hAnsi="Calibri" w:cs="Times New Roman"/>
          <w:sz w:val="18"/>
          <w:szCs w:val="18"/>
          <w:lang w:eastAsia="tr-TR"/>
        </w:rPr>
        <w:t>ı</w:t>
      </w:r>
      <w:r w:rsidRPr="005A0B3B">
        <w:rPr>
          <w:rFonts w:ascii="Calibri" w:eastAsia="Times New Roman" w:hAnsi="Calibri" w:cs="Times New Roman"/>
          <w:sz w:val="18"/>
          <w:szCs w:val="18"/>
          <w:lang w:eastAsia="tr-TR"/>
        </w:rPr>
        <w:t>n</w:t>
      </w:r>
      <w:proofErr w:type="spellEnd"/>
      <w:r w:rsidRPr="005A0B3B">
        <w:rPr>
          <w:rFonts w:ascii="Calibri" w:eastAsia="Times New Roman" w:hAnsi="Calibri" w:cs="Times New Roman"/>
          <w:sz w:val="18"/>
          <w:szCs w:val="18"/>
          <w:lang w:eastAsia="tr-TR"/>
        </w:rPr>
        <w:t xml:space="preserve"> ilk yılında bu oran %16,2’ye çıkmıştır</w:t>
      </w:r>
      <w:r w:rsidRPr="005A0B3B">
        <w:rPr>
          <w:rFonts w:ascii="Calibri" w:eastAsia="Times New Roman" w:hAnsi="Calibri" w:cs="Times New Roman"/>
          <w:sz w:val="18"/>
          <w:szCs w:val="18"/>
          <w:vertAlign w:val="superscript"/>
          <w:lang w:eastAsia="tr-TR"/>
        </w:rPr>
        <w:footnoteReference w:id="17"/>
      </w:r>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Bromley’de</w:t>
      </w:r>
      <w:proofErr w:type="spellEnd"/>
      <w:r w:rsidRPr="005A0B3B">
        <w:rPr>
          <w:rFonts w:ascii="Calibri" w:eastAsia="Times New Roman" w:hAnsi="Calibri" w:cs="Times New Roman"/>
          <w:sz w:val="18"/>
          <w:szCs w:val="18"/>
          <w:lang w:eastAsia="tr-TR"/>
        </w:rPr>
        <w:t xml:space="preserve"> ise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öncesi sermayeye ayrılan pay gelirin %7’si iken </w:t>
      </w:r>
      <w:proofErr w:type="spellStart"/>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’n</w:t>
      </w:r>
      <w:r w:rsidR="005A0B3B">
        <w:rPr>
          <w:rFonts w:ascii="Calibri" w:eastAsia="Times New Roman" w:hAnsi="Calibri" w:cs="Times New Roman"/>
          <w:sz w:val="18"/>
          <w:szCs w:val="18"/>
          <w:lang w:eastAsia="tr-TR"/>
        </w:rPr>
        <w:t>ı</w:t>
      </w:r>
      <w:r w:rsidRPr="005A0B3B">
        <w:rPr>
          <w:rFonts w:ascii="Calibri" w:eastAsia="Times New Roman" w:hAnsi="Calibri" w:cs="Times New Roman"/>
          <w:sz w:val="18"/>
          <w:szCs w:val="18"/>
          <w:lang w:eastAsia="tr-TR"/>
        </w:rPr>
        <w:t>n</w:t>
      </w:r>
      <w:proofErr w:type="spellEnd"/>
      <w:r w:rsidRPr="005A0B3B">
        <w:rPr>
          <w:rFonts w:ascii="Calibri" w:eastAsia="Times New Roman" w:hAnsi="Calibri" w:cs="Times New Roman"/>
          <w:sz w:val="18"/>
          <w:szCs w:val="18"/>
          <w:lang w:eastAsia="tr-TR"/>
        </w:rPr>
        <w:t xml:space="preserve"> ilk yılında %10,7’ye çıkmıştır.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Başta zaten yüksek olan maliyet,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ödemelerinin perakende fiyat endeksine bağlanmasıyla daha da ağırlaşmıştır (tablo 1). Burada da görülmektedir ki </w:t>
      </w:r>
      <w:proofErr w:type="spellStart"/>
      <w:r w:rsidRPr="005A0B3B">
        <w:rPr>
          <w:rFonts w:ascii="Calibri" w:eastAsia="Times New Roman" w:hAnsi="Calibri" w:cs="Times New Roman"/>
          <w:sz w:val="18"/>
          <w:szCs w:val="18"/>
          <w:lang w:eastAsia="tr-TR"/>
        </w:rPr>
        <w:t>Bromley</w:t>
      </w:r>
      <w:proofErr w:type="spellEnd"/>
      <w:r w:rsidRPr="005A0B3B">
        <w:rPr>
          <w:rFonts w:ascii="Calibri" w:eastAsia="Times New Roman" w:hAnsi="Calibri" w:cs="Times New Roman"/>
          <w:sz w:val="18"/>
          <w:szCs w:val="18"/>
          <w:lang w:eastAsia="tr-TR"/>
        </w:rPr>
        <w:t xml:space="preserve">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dönemsel maliyeti 2000-01’den 2012-13’e altı kattan daha fazla artmıştır ve 2031-2’ye gelindiğinde bu artış neredeyse yirmi kata ulaşacaktır.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t xml:space="preserve">Tablo 1: </w:t>
      </w:r>
      <w:r w:rsidRPr="005A0B3B">
        <w:rPr>
          <w:rFonts w:ascii="Calibri" w:eastAsia="Times New Roman" w:hAnsi="Calibri" w:cs="Times New Roman"/>
          <w:sz w:val="18"/>
          <w:szCs w:val="18"/>
          <w:lang w:eastAsia="tr-TR"/>
        </w:rPr>
        <w:t xml:space="preserve">Endekslemenin </w:t>
      </w:r>
      <w:proofErr w:type="spellStart"/>
      <w:r w:rsidRPr="005A0B3B">
        <w:rPr>
          <w:rFonts w:ascii="Calibri" w:eastAsia="Times New Roman" w:hAnsi="Calibri" w:cs="Times New Roman"/>
          <w:sz w:val="18"/>
          <w:szCs w:val="18"/>
          <w:lang w:eastAsia="tr-TR"/>
        </w:rPr>
        <w:t>Princess</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Royal</w:t>
      </w:r>
      <w:proofErr w:type="spellEnd"/>
      <w:r w:rsidRPr="005A0B3B">
        <w:rPr>
          <w:rFonts w:ascii="Calibri" w:eastAsia="Times New Roman" w:hAnsi="Calibri" w:cs="Times New Roman"/>
          <w:sz w:val="18"/>
          <w:szCs w:val="18"/>
          <w:lang w:eastAsia="tr-TR"/>
        </w:rPr>
        <w:t xml:space="preserve"> Üniversite Hastanesi </w:t>
      </w:r>
      <w:proofErr w:type="spellStart"/>
      <w:r w:rsidRPr="005A0B3B">
        <w:rPr>
          <w:rFonts w:ascii="Calibri" w:eastAsia="Times New Roman" w:hAnsi="Calibri" w:cs="Times New Roman"/>
          <w:sz w:val="18"/>
          <w:szCs w:val="18"/>
          <w:lang w:eastAsia="tr-TR"/>
        </w:rPr>
        <w:t>Bromley</w:t>
      </w:r>
      <w:proofErr w:type="spellEnd"/>
      <w:r w:rsidRPr="005A0B3B">
        <w:rPr>
          <w:rFonts w:ascii="Calibri" w:eastAsia="Times New Roman" w:hAnsi="Calibri" w:cs="Times New Roman"/>
          <w:sz w:val="18"/>
          <w:szCs w:val="18"/>
          <w:lang w:eastAsia="tr-TR"/>
        </w:rPr>
        <w:t xml:space="preserve"> ve </w:t>
      </w:r>
      <w:proofErr w:type="spellStart"/>
      <w:r w:rsidRPr="005A0B3B">
        <w:rPr>
          <w:rFonts w:ascii="Calibri" w:eastAsia="Times New Roman" w:hAnsi="Calibri" w:cs="Times New Roman"/>
          <w:sz w:val="18"/>
          <w:szCs w:val="18"/>
          <w:lang w:eastAsia="tr-TR"/>
        </w:rPr>
        <w:t>Queen</w:t>
      </w:r>
      <w:proofErr w:type="spellEnd"/>
      <w:r w:rsidRPr="005A0B3B">
        <w:rPr>
          <w:rFonts w:ascii="Calibri" w:eastAsia="Times New Roman" w:hAnsi="Calibri" w:cs="Times New Roman"/>
          <w:sz w:val="18"/>
          <w:szCs w:val="18"/>
          <w:lang w:eastAsia="tr-TR"/>
        </w:rPr>
        <w:t xml:space="preserve"> Elizabeth Hastanesi </w:t>
      </w:r>
      <w:proofErr w:type="spellStart"/>
      <w:r w:rsidRPr="005A0B3B">
        <w:rPr>
          <w:rFonts w:ascii="Calibri" w:eastAsia="Times New Roman" w:hAnsi="Calibri" w:cs="Times New Roman"/>
          <w:sz w:val="18"/>
          <w:szCs w:val="18"/>
          <w:lang w:eastAsia="tr-TR"/>
        </w:rPr>
        <w:t>Woolwich’te</w:t>
      </w:r>
      <w:proofErr w:type="spellEnd"/>
      <w:r w:rsidRPr="005A0B3B">
        <w:rPr>
          <w:rFonts w:ascii="Calibri" w:eastAsia="Times New Roman" w:hAnsi="Calibri" w:cs="Times New Roman"/>
          <w:sz w:val="18"/>
          <w:szCs w:val="18"/>
          <w:lang w:eastAsia="tr-TR"/>
        </w:rPr>
        <w:t xml:space="preserve"> </w:t>
      </w:r>
      <w:proofErr w:type="spellStart"/>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’n</w:t>
      </w:r>
      <w:r w:rsidR="005A0B3B">
        <w:rPr>
          <w:rFonts w:ascii="Calibri" w:eastAsia="Times New Roman" w:hAnsi="Calibri" w:cs="Times New Roman"/>
          <w:sz w:val="18"/>
          <w:szCs w:val="18"/>
          <w:lang w:eastAsia="tr-TR"/>
        </w:rPr>
        <w:t>ı</w:t>
      </w:r>
      <w:r w:rsidRPr="005A0B3B">
        <w:rPr>
          <w:rFonts w:ascii="Calibri" w:eastAsia="Times New Roman" w:hAnsi="Calibri" w:cs="Times New Roman"/>
          <w:sz w:val="18"/>
          <w:szCs w:val="18"/>
          <w:lang w:eastAsia="tr-TR"/>
        </w:rPr>
        <w:t>n</w:t>
      </w:r>
      <w:proofErr w:type="spellEnd"/>
      <w:r w:rsidRPr="005A0B3B">
        <w:rPr>
          <w:rFonts w:ascii="Calibri" w:eastAsia="Times New Roman" w:hAnsi="Calibri" w:cs="Times New Roman"/>
          <w:sz w:val="18"/>
          <w:szCs w:val="18"/>
          <w:lang w:eastAsia="tr-TR"/>
        </w:rPr>
        <w:t xml:space="preserve"> belirlediği dönemsel ödemeler üzerindeki etkisi, 2000-01’den sözleşme bitimine kadar olan sürede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616"/>
        <w:gridCol w:w="1617"/>
        <w:gridCol w:w="1617"/>
      </w:tblGrid>
      <w:tr w:rsidR="007225B4" w:rsidRPr="005A0B3B" w:rsidTr="007225B4">
        <w:tc>
          <w:tcPr>
            <w:tcW w:w="4361" w:type="dxa"/>
          </w:tcPr>
          <w:p w:rsidR="007225B4" w:rsidRPr="005A0B3B" w:rsidRDefault="005A0B3B" w:rsidP="007225B4">
            <w:pPr>
              <w:jc w:val="both"/>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KÖO</w:t>
            </w:r>
            <w:r w:rsidR="007225B4" w:rsidRPr="005A0B3B">
              <w:rPr>
                <w:rFonts w:ascii="Calibri" w:eastAsia="Times New Roman" w:hAnsi="Calibri" w:cs="Times New Roman"/>
                <w:b/>
                <w:i/>
                <w:sz w:val="18"/>
                <w:szCs w:val="18"/>
                <w:lang w:eastAsia="tr-TR"/>
              </w:rPr>
              <w:t xml:space="preserve"> Sistemi</w:t>
            </w:r>
          </w:p>
        </w:tc>
        <w:tc>
          <w:tcPr>
            <w:tcW w:w="1616" w:type="dxa"/>
          </w:tcPr>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Dönemsel ödeme</w:t>
            </w:r>
          </w:p>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2000-2001</w:t>
            </w:r>
          </w:p>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(milyon sterlin)</w:t>
            </w:r>
          </w:p>
        </w:tc>
        <w:tc>
          <w:tcPr>
            <w:tcW w:w="1617" w:type="dxa"/>
          </w:tcPr>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Dönemsel ödeme</w:t>
            </w:r>
          </w:p>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2012-2013</w:t>
            </w:r>
          </w:p>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(milyon sterlin)</w:t>
            </w:r>
          </w:p>
        </w:tc>
        <w:tc>
          <w:tcPr>
            <w:tcW w:w="1617" w:type="dxa"/>
          </w:tcPr>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Sözleşme bitiminde </w:t>
            </w:r>
            <w:proofErr w:type="spellStart"/>
            <w:r w:rsidRPr="005A0B3B">
              <w:rPr>
                <w:rFonts w:ascii="Calibri" w:eastAsia="Times New Roman" w:hAnsi="Calibri" w:cs="Times New Roman"/>
                <w:b/>
                <w:sz w:val="18"/>
                <w:szCs w:val="18"/>
                <w:lang w:eastAsia="tr-TR"/>
              </w:rPr>
              <w:t>birimsel</w:t>
            </w:r>
            <w:proofErr w:type="spellEnd"/>
            <w:r w:rsidRPr="005A0B3B">
              <w:rPr>
                <w:rFonts w:ascii="Calibri" w:eastAsia="Times New Roman" w:hAnsi="Calibri" w:cs="Times New Roman"/>
                <w:b/>
                <w:sz w:val="18"/>
                <w:szCs w:val="18"/>
                <w:lang w:eastAsia="tr-TR"/>
              </w:rPr>
              <w:t xml:space="preserve"> ödeme</w:t>
            </w:r>
          </w:p>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(milyon sterlin)</w:t>
            </w:r>
          </w:p>
        </w:tc>
      </w:tr>
      <w:tr w:rsidR="007225B4" w:rsidRPr="005A0B3B" w:rsidTr="007225B4">
        <w:tc>
          <w:tcPr>
            <w:tcW w:w="4361" w:type="dxa"/>
          </w:tcPr>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Princess</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Royal</w:t>
            </w:r>
            <w:proofErr w:type="spellEnd"/>
            <w:r w:rsidRPr="005A0B3B">
              <w:rPr>
                <w:rFonts w:ascii="Calibri" w:eastAsia="Times New Roman" w:hAnsi="Calibri" w:cs="Times New Roman"/>
                <w:sz w:val="18"/>
                <w:szCs w:val="18"/>
                <w:lang w:eastAsia="tr-TR"/>
              </w:rPr>
              <w:t xml:space="preserve"> Üniversite Hastanesi (PRUH)-</w:t>
            </w:r>
            <w:proofErr w:type="spellStart"/>
            <w:r w:rsidRPr="005A0B3B">
              <w:rPr>
                <w:rFonts w:ascii="Calibri" w:eastAsia="Times New Roman" w:hAnsi="Calibri" w:cs="Times New Roman"/>
                <w:sz w:val="18"/>
                <w:szCs w:val="18"/>
                <w:lang w:eastAsia="tr-TR"/>
              </w:rPr>
              <w:t>Bromley</w:t>
            </w:r>
            <w:proofErr w:type="spellEnd"/>
          </w:p>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Queen</w:t>
            </w:r>
            <w:proofErr w:type="spellEnd"/>
            <w:r w:rsidRPr="005A0B3B">
              <w:rPr>
                <w:rFonts w:ascii="Calibri" w:eastAsia="Times New Roman" w:hAnsi="Calibri" w:cs="Times New Roman"/>
                <w:sz w:val="18"/>
                <w:szCs w:val="18"/>
                <w:lang w:eastAsia="tr-TR"/>
              </w:rPr>
              <w:t xml:space="preserve"> Elizabeth Hastanesi (QEH) -</w:t>
            </w:r>
            <w:proofErr w:type="spellStart"/>
            <w:r w:rsidRPr="005A0B3B">
              <w:rPr>
                <w:rFonts w:ascii="Calibri" w:eastAsia="Times New Roman" w:hAnsi="Calibri" w:cs="Times New Roman"/>
                <w:sz w:val="18"/>
                <w:szCs w:val="18"/>
                <w:lang w:eastAsia="tr-TR"/>
              </w:rPr>
              <w:t>Woolwich</w:t>
            </w:r>
            <w:proofErr w:type="spellEnd"/>
          </w:p>
        </w:tc>
        <w:tc>
          <w:tcPr>
            <w:tcW w:w="1616" w:type="dxa"/>
          </w:tcPr>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5,8</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18,2</w:t>
            </w:r>
          </w:p>
        </w:tc>
        <w:tc>
          <w:tcPr>
            <w:tcW w:w="1617" w:type="dxa"/>
          </w:tcPr>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39,0</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27,9</w:t>
            </w:r>
          </w:p>
        </w:tc>
        <w:tc>
          <w:tcPr>
            <w:tcW w:w="1617" w:type="dxa"/>
          </w:tcPr>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94,1 *</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61,3 **</w:t>
            </w:r>
          </w:p>
        </w:tc>
      </w:tr>
    </w:tbl>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Not: (*) 2031-32 için dönemsel ödeme; (**) 2029-30 için dönemsel ödeme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Kaynak: HM Hazine 2011,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imzalı projeler listesi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Hükümet politikasının zorunlu kıldığı ve Hazine tarafından da onaylanan bu ödemeler hasta bakım bütçesinden bir sapma içermektedir ve sürdürülemez niteliktedir.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Giderek büyüyen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finansman krizi, uygulanan ulusal tarife aracılığıyla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ücretlerinin karşılanmasındaki yetersizlik nedeniyle daha da ağırlaşmaktadır</w:t>
      </w:r>
      <w:r w:rsidRPr="005A0B3B">
        <w:rPr>
          <w:rFonts w:ascii="Calibri" w:eastAsia="Times New Roman" w:hAnsi="Calibri" w:cs="Times New Roman"/>
          <w:sz w:val="18"/>
          <w:szCs w:val="18"/>
          <w:vertAlign w:val="superscript"/>
          <w:lang w:eastAsia="tr-TR"/>
        </w:rPr>
        <w:footnoteReference w:id="18"/>
      </w:r>
      <w:r w:rsidRPr="005A0B3B">
        <w:rPr>
          <w:rFonts w:ascii="Calibri" w:eastAsia="Times New Roman" w:hAnsi="Calibri" w:cs="Times New Roman"/>
          <w:sz w:val="18"/>
          <w:szCs w:val="18"/>
          <w:lang w:eastAsia="tr-TR"/>
        </w:rPr>
        <w:t xml:space="preserve">. </w:t>
      </w:r>
    </w:p>
    <w:p w:rsidR="007225B4" w:rsidRPr="005A0B3B" w:rsidRDefault="005A0B3B"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KÖO</w:t>
      </w:r>
      <w:r w:rsidR="007225B4" w:rsidRPr="005A0B3B">
        <w:rPr>
          <w:rFonts w:ascii="Calibri" w:eastAsia="Times New Roman" w:hAnsi="Calibri" w:cs="Times New Roman"/>
          <w:sz w:val="18"/>
          <w:szCs w:val="18"/>
          <w:lang w:eastAsia="tr-TR"/>
        </w:rPr>
        <w:t>’n</w:t>
      </w:r>
      <w:r>
        <w:rPr>
          <w:rFonts w:ascii="Calibri" w:eastAsia="Times New Roman" w:hAnsi="Calibri" w:cs="Times New Roman"/>
          <w:sz w:val="18"/>
          <w:szCs w:val="18"/>
          <w:lang w:eastAsia="tr-TR"/>
        </w:rPr>
        <w:t>ı</w:t>
      </w:r>
      <w:r w:rsidR="007225B4" w:rsidRPr="005A0B3B">
        <w:rPr>
          <w:rFonts w:ascii="Calibri" w:eastAsia="Times New Roman" w:hAnsi="Calibri" w:cs="Times New Roman"/>
          <w:sz w:val="18"/>
          <w:szCs w:val="18"/>
          <w:lang w:eastAsia="tr-TR"/>
        </w:rPr>
        <w:t>n</w:t>
      </w:r>
      <w:proofErr w:type="spellEnd"/>
      <w:r w:rsidR="007225B4" w:rsidRPr="005A0B3B">
        <w:rPr>
          <w:rFonts w:ascii="Calibri" w:eastAsia="Times New Roman" w:hAnsi="Calibri" w:cs="Times New Roman"/>
          <w:sz w:val="18"/>
          <w:szCs w:val="18"/>
          <w:lang w:eastAsia="tr-TR"/>
        </w:rPr>
        <w:t xml:space="preserve"> mali açıdan </w:t>
      </w:r>
      <w:proofErr w:type="spellStart"/>
      <w:r w:rsidR="007225B4" w:rsidRPr="005A0B3B">
        <w:rPr>
          <w:rFonts w:ascii="Calibri" w:eastAsia="Times New Roman" w:hAnsi="Calibri" w:cs="Times New Roman"/>
          <w:sz w:val="18"/>
          <w:szCs w:val="18"/>
          <w:lang w:eastAsia="tr-TR"/>
        </w:rPr>
        <w:t>katlanılabilirlik</w:t>
      </w:r>
      <w:proofErr w:type="spellEnd"/>
      <w:r w:rsidR="007225B4" w:rsidRPr="005A0B3B">
        <w:rPr>
          <w:rFonts w:ascii="Calibri" w:eastAsia="Times New Roman" w:hAnsi="Calibri" w:cs="Times New Roman"/>
          <w:sz w:val="18"/>
          <w:szCs w:val="18"/>
          <w:lang w:eastAsia="tr-TR"/>
        </w:rPr>
        <w:t xml:space="preserve"> sorunları ancak USH varlıklarının satılmasıyla, gelirlerin </w:t>
      </w:r>
      <w:proofErr w:type="spellStart"/>
      <w:r w:rsidRPr="005A0B3B">
        <w:rPr>
          <w:rFonts w:ascii="Calibri" w:eastAsia="Times New Roman" w:hAnsi="Calibri" w:cs="Times New Roman"/>
          <w:sz w:val="18"/>
          <w:szCs w:val="18"/>
          <w:lang w:eastAsia="tr-TR"/>
        </w:rPr>
        <w:t>KÖO</w:t>
      </w:r>
      <w:r w:rsidR="007225B4" w:rsidRPr="005A0B3B">
        <w:rPr>
          <w:rFonts w:ascii="Calibri" w:eastAsia="Times New Roman" w:hAnsi="Calibri" w:cs="Times New Roman"/>
          <w:sz w:val="18"/>
          <w:szCs w:val="18"/>
          <w:lang w:eastAsia="tr-TR"/>
        </w:rPr>
        <w:t>’</w:t>
      </w:r>
      <w:r>
        <w:rPr>
          <w:rFonts w:ascii="Calibri" w:eastAsia="Times New Roman" w:hAnsi="Calibri" w:cs="Times New Roman"/>
          <w:sz w:val="18"/>
          <w:szCs w:val="18"/>
          <w:lang w:eastAsia="tr-TR"/>
        </w:rPr>
        <w:t>na</w:t>
      </w:r>
      <w:proofErr w:type="spellEnd"/>
      <w:r w:rsidR="007225B4" w:rsidRPr="005A0B3B">
        <w:rPr>
          <w:rFonts w:ascii="Calibri" w:eastAsia="Times New Roman" w:hAnsi="Calibri" w:cs="Times New Roman"/>
          <w:sz w:val="18"/>
          <w:szCs w:val="18"/>
          <w:lang w:eastAsia="tr-TR"/>
        </w:rPr>
        <w:t xml:space="preserve"> yönlendirilmesiyle ya da sözleşme koşullarının yeniden pazarlık konusu edilmesiyle çözülebilecektir. </w:t>
      </w:r>
    </w:p>
    <w:p w:rsidR="007225B4" w:rsidRPr="005A0B3B" w:rsidRDefault="005A0B3B"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KÖO</w:t>
      </w:r>
      <w:r w:rsidR="007225B4" w:rsidRPr="005A0B3B">
        <w:rPr>
          <w:rFonts w:ascii="Calibri" w:eastAsia="Times New Roman" w:hAnsi="Calibri" w:cs="Times New Roman"/>
          <w:sz w:val="18"/>
          <w:szCs w:val="18"/>
          <w:lang w:eastAsia="tr-TR"/>
        </w:rPr>
        <w:t xml:space="preserve"> aynı zamanda aşağıda VÖİ tarafından bildirilen finansman giderlerinin bir parçasıdır; ancak VÖİ, </w:t>
      </w:r>
      <w:r w:rsidRPr="005A0B3B">
        <w:rPr>
          <w:rFonts w:ascii="Calibri" w:eastAsia="Times New Roman" w:hAnsi="Calibri" w:cs="Times New Roman"/>
          <w:sz w:val="18"/>
          <w:szCs w:val="18"/>
          <w:lang w:eastAsia="tr-TR"/>
        </w:rPr>
        <w:t>KÖO</w:t>
      </w:r>
      <w:r w:rsidR="007225B4" w:rsidRPr="005A0B3B">
        <w:rPr>
          <w:rFonts w:ascii="Calibri" w:eastAsia="Times New Roman" w:hAnsi="Calibri" w:cs="Times New Roman"/>
          <w:sz w:val="18"/>
          <w:szCs w:val="18"/>
          <w:lang w:eastAsia="tr-TR"/>
        </w:rPr>
        <w:t xml:space="preserve"> ve diğer giderleri bunların bileşenlerini ve varsayımlarını ortaya koyacak şekilde tanımlamamış ya da ayrıştırmamıştır.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 xml:space="preserve">Tablo 2, 2009-10’dan 2012-13’e kadar olan dönemde GLSHV işletme gelirlerinin ve giderlerinin sırasıyla %6,9 ve %13,3 oranlarında azaldığını göstermektedir. GLSHV finansman giderleri (PRUH ve </w:t>
      </w:r>
      <w:proofErr w:type="spellStart"/>
      <w:r w:rsidRPr="005A0B3B">
        <w:rPr>
          <w:rFonts w:ascii="Calibri" w:eastAsia="Times New Roman" w:hAnsi="Calibri" w:cs="Times New Roman"/>
          <w:sz w:val="18"/>
          <w:szCs w:val="18"/>
          <w:lang w:eastAsia="tr-TR"/>
        </w:rPr>
        <w:t>QEH’deki</w:t>
      </w:r>
      <w:proofErr w:type="spellEnd"/>
      <w:r w:rsidRPr="005A0B3B">
        <w:rPr>
          <w:rFonts w:ascii="Calibri" w:eastAsia="Times New Roman" w:hAnsi="Calibri" w:cs="Times New Roman"/>
          <w:sz w:val="18"/>
          <w:szCs w:val="18"/>
          <w:lang w:eastAsia="tr-TR"/>
        </w:rPr>
        <w:t xml:space="preserve"> iki önemli OFG projesiyle ilgili gidereler) ise yıllık ortalama artış oranı %9,1 olmak üzere gene aynı dönemde %29,5 artmıştır.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t xml:space="preserve">Tablo 2: </w:t>
      </w:r>
      <w:r w:rsidRPr="005A0B3B">
        <w:rPr>
          <w:rFonts w:ascii="Calibri" w:eastAsia="Times New Roman" w:hAnsi="Calibri" w:cs="Times New Roman"/>
          <w:sz w:val="18"/>
          <w:szCs w:val="18"/>
          <w:lang w:eastAsia="tr-TR"/>
        </w:rPr>
        <w:t>Güney Londra Sağlık Hizmetleri Vakfı’nın finansal performansı, 2009-10 – 2012-13 (milyon  £ olarak)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138"/>
        <w:gridCol w:w="1139"/>
        <w:gridCol w:w="1139"/>
        <w:gridCol w:w="1139"/>
        <w:gridCol w:w="1139"/>
        <w:gridCol w:w="1139"/>
      </w:tblGrid>
      <w:tr w:rsidR="007225B4" w:rsidRPr="005A0B3B" w:rsidTr="007225B4">
        <w:tc>
          <w:tcPr>
            <w:tcW w:w="2376" w:type="dxa"/>
          </w:tcPr>
          <w:p w:rsidR="007225B4" w:rsidRPr="005A0B3B" w:rsidRDefault="007225B4" w:rsidP="007225B4">
            <w:pPr>
              <w:jc w:val="both"/>
              <w:rPr>
                <w:rFonts w:ascii="Calibri" w:eastAsia="Times New Roman" w:hAnsi="Calibri" w:cs="Times New Roman"/>
                <w:sz w:val="18"/>
                <w:szCs w:val="18"/>
                <w:lang w:eastAsia="tr-TR"/>
              </w:rPr>
            </w:pPr>
          </w:p>
        </w:tc>
        <w:tc>
          <w:tcPr>
            <w:tcW w:w="1138" w:type="dxa"/>
          </w:tcPr>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2009-10</w:t>
            </w:r>
          </w:p>
        </w:tc>
        <w:tc>
          <w:tcPr>
            <w:tcW w:w="1139" w:type="dxa"/>
          </w:tcPr>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2010-11</w:t>
            </w:r>
          </w:p>
        </w:tc>
        <w:tc>
          <w:tcPr>
            <w:tcW w:w="1139" w:type="dxa"/>
          </w:tcPr>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2011-12</w:t>
            </w:r>
          </w:p>
        </w:tc>
        <w:tc>
          <w:tcPr>
            <w:tcW w:w="1139" w:type="dxa"/>
          </w:tcPr>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2012-13</w:t>
            </w:r>
          </w:p>
        </w:tc>
        <w:tc>
          <w:tcPr>
            <w:tcW w:w="1139" w:type="dxa"/>
          </w:tcPr>
          <w:p w:rsidR="007225B4" w:rsidRPr="005A0B3B" w:rsidRDefault="007225B4" w:rsidP="007225B4">
            <w:pPr>
              <w:jc w:val="both"/>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 xml:space="preserve">2009-10 – </w:t>
            </w:r>
          </w:p>
          <w:p w:rsidR="007225B4" w:rsidRPr="005A0B3B" w:rsidRDefault="007225B4" w:rsidP="007225B4">
            <w:pPr>
              <w:jc w:val="both"/>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 xml:space="preserve">2012-13 </w:t>
            </w:r>
          </w:p>
          <w:p w:rsidR="007225B4" w:rsidRPr="005A0B3B" w:rsidRDefault="007225B4" w:rsidP="007225B4">
            <w:pPr>
              <w:jc w:val="center"/>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 değişim</w:t>
            </w:r>
          </w:p>
        </w:tc>
        <w:tc>
          <w:tcPr>
            <w:tcW w:w="1139" w:type="dxa"/>
          </w:tcPr>
          <w:p w:rsidR="007225B4" w:rsidRPr="005A0B3B" w:rsidRDefault="007225B4" w:rsidP="007225B4">
            <w:pPr>
              <w:jc w:val="both"/>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 xml:space="preserve">2009-10 – </w:t>
            </w:r>
          </w:p>
          <w:p w:rsidR="007225B4" w:rsidRPr="005A0B3B" w:rsidRDefault="007225B4" w:rsidP="007225B4">
            <w:pPr>
              <w:jc w:val="both"/>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 xml:space="preserve">2012-13 </w:t>
            </w:r>
          </w:p>
          <w:p w:rsidR="007225B4" w:rsidRPr="005A0B3B" w:rsidRDefault="007225B4" w:rsidP="007225B4">
            <w:pPr>
              <w:jc w:val="both"/>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 xml:space="preserve">Yıllık ortalama artış hızı </w:t>
            </w:r>
          </w:p>
        </w:tc>
      </w:tr>
      <w:tr w:rsidR="007225B4" w:rsidRPr="005A0B3B" w:rsidTr="007225B4">
        <w:tc>
          <w:tcPr>
            <w:tcW w:w="2376"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Toplam işletme geliri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Toplam işletme gideri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Finansman giderleri *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Toplam finansal açık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Net açık **</w:t>
            </w:r>
          </w:p>
        </w:tc>
        <w:tc>
          <w:tcPr>
            <w:tcW w:w="1138"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462.6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523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21.0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-81.4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-43,7 </w:t>
            </w:r>
          </w:p>
        </w:tc>
        <w:tc>
          <w:tcPr>
            <w:tcW w:w="113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437.8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453.3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23.3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-38.8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-43,8 </w:t>
            </w:r>
          </w:p>
        </w:tc>
        <w:tc>
          <w:tcPr>
            <w:tcW w:w="113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438.9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490.8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26.3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-78.2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-65,0 </w:t>
            </w:r>
          </w:p>
        </w:tc>
        <w:tc>
          <w:tcPr>
            <w:tcW w:w="113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430.5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453.6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27.2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-50.3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-54,2 </w:t>
            </w:r>
          </w:p>
        </w:tc>
        <w:tc>
          <w:tcPr>
            <w:tcW w:w="1139" w:type="dxa"/>
          </w:tcPr>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 6,9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 13,3 </w:t>
            </w:r>
          </w:p>
          <w:p w:rsidR="007225B4" w:rsidRPr="005A0B3B" w:rsidRDefault="007225B4" w:rsidP="007225B4">
            <w:pPr>
              <w:jc w:val="both"/>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 xml:space="preserve">% 29,5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 38,2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 24,0 </w:t>
            </w:r>
          </w:p>
        </w:tc>
        <w:tc>
          <w:tcPr>
            <w:tcW w:w="1139" w:type="dxa"/>
          </w:tcPr>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 2,3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 4,2 </w:t>
            </w:r>
          </w:p>
          <w:p w:rsidR="007225B4" w:rsidRPr="005A0B3B" w:rsidRDefault="007225B4" w:rsidP="007225B4">
            <w:pPr>
              <w:jc w:val="both"/>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 xml:space="preserve">% 9,1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4,5</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%10,7</w:t>
            </w:r>
          </w:p>
        </w:tc>
      </w:tr>
    </w:tbl>
    <w:p w:rsidR="007225B4" w:rsidRPr="005A0B3B" w:rsidRDefault="007225B4" w:rsidP="007225B4">
      <w:pPr>
        <w:jc w:val="both"/>
        <w:rPr>
          <w:rFonts w:ascii="Calibri" w:eastAsia="Times New Roman" w:hAnsi="Calibri" w:cs="Times New Roman"/>
          <w:sz w:val="18"/>
          <w:szCs w:val="18"/>
          <w:lang w:eastAsia="tr-TR"/>
        </w:rPr>
      </w:pPr>
    </w:p>
    <w:p w:rsid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Notlar: (*) Finansman giderleri asıl olarak PRUH ve </w:t>
      </w:r>
      <w:proofErr w:type="spellStart"/>
      <w:r w:rsidRPr="005A0B3B">
        <w:rPr>
          <w:rFonts w:ascii="Calibri" w:eastAsia="Times New Roman" w:hAnsi="Calibri" w:cs="Times New Roman"/>
          <w:sz w:val="18"/>
          <w:szCs w:val="18"/>
          <w:lang w:eastAsia="tr-TR"/>
        </w:rPr>
        <w:t>QEH’deki</w:t>
      </w:r>
      <w:proofErr w:type="spellEnd"/>
      <w:r w:rsidRPr="005A0B3B">
        <w:rPr>
          <w:rFonts w:ascii="Calibri" w:eastAsia="Times New Roman" w:hAnsi="Calibri" w:cs="Times New Roman"/>
          <w:sz w:val="18"/>
          <w:szCs w:val="18"/>
          <w:lang w:eastAsia="tr-TR"/>
        </w:rPr>
        <w:t xml:space="preserve"> iki tam teşkilatlı hastane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ilişkilidir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 Net açık, eldeki varlıkların piyasa fiyatına göre düzeltilmiştir. </w:t>
      </w:r>
    </w:p>
    <w:p w:rsidR="007225B4" w:rsidRPr="005A0B3B" w:rsidRDefault="007225B4" w:rsidP="007225B4">
      <w:p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 xml:space="preserve">Kaynak: Vakıf Özel İdaresi.  </w:t>
      </w:r>
      <w:proofErr w:type="gramEnd"/>
      <w:r w:rsidRPr="005A0B3B">
        <w:rPr>
          <w:rFonts w:ascii="Calibri" w:eastAsia="Times New Roman" w:hAnsi="Calibri" w:cs="Times New Roman"/>
          <w:sz w:val="18"/>
          <w:szCs w:val="18"/>
          <w:lang w:eastAsia="tr-TR"/>
        </w:rPr>
        <w:t xml:space="preserve">Sürdürülebilir UHS sağlanması: Vakıf Özel İdaresi’nin Güney Londra USH Vakfı güneydoğu Londra’da USH ile ilgili raporu. Cilt 1. Ocak 7, 2013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Gelirde azalmalar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USH gelirleri, harcanmadan elde kalanların Hazine’ye iadesi sonucunda azalmıştır.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2011-2012 döneminde </w:t>
      </w:r>
      <w:proofErr w:type="spellStart"/>
      <w:r w:rsidRPr="005A0B3B">
        <w:rPr>
          <w:rFonts w:ascii="Calibri" w:eastAsia="Times New Roman" w:hAnsi="Calibri" w:cs="Times New Roman"/>
          <w:sz w:val="18"/>
          <w:szCs w:val="18"/>
          <w:lang w:eastAsia="tr-TR"/>
        </w:rPr>
        <w:t>USH’nin</w:t>
      </w:r>
      <w:proofErr w:type="spellEnd"/>
      <w:r w:rsidRPr="005A0B3B">
        <w:rPr>
          <w:rFonts w:ascii="Calibri" w:eastAsia="Times New Roman" w:hAnsi="Calibri" w:cs="Times New Roman"/>
          <w:sz w:val="18"/>
          <w:szCs w:val="18"/>
          <w:lang w:eastAsia="tr-TR"/>
        </w:rPr>
        <w:t xml:space="preserve"> elinde £1,7 milyon kalmış, bunun 0,3 milyonu dışında geri kalanı Hazine’ye iade edilmiştir. Oysa USH İngiltere baş yöneticisi David </w:t>
      </w:r>
      <w:proofErr w:type="spellStart"/>
      <w:r w:rsidRPr="005A0B3B">
        <w:rPr>
          <w:rFonts w:ascii="Calibri" w:eastAsia="Times New Roman" w:hAnsi="Calibri" w:cs="Times New Roman"/>
          <w:sz w:val="18"/>
          <w:szCs w:val="18"/>
          <w:lang w:eastAsia="tr-TR"/>
        </w:rPr>
        <w:t>Nicholson</w:t>
      </w:r>
      <w:proofErr w:type="spellEnd"/>
      <w:r w:rsidRPr="005A0B3B">
        <w:rPr>
          <w:rFonts w:ascii="Calibri" w:eastAsia="Times New Roman" w:hAnsi="Calibri" w:cs="Times New Roman"/>
          <w:sz w:val="18"/>
          <w:szCs w:val="18"/>
          <w:lang w:eastAsia="tr-TR"/>
        </w:rPr>
        <w:t xml:space="preserve"> 2010 yılında bu tür fonların tamamının yeniden sağlık hizmetlerine tahsis edileceği sözü vermişti</w:t>
      </w:r>
      <w:r w:rsidRPr="005A0B3B">
        <w:rPr>
          <w:rFonts w:ascii="Calibri" w:eastAsia="Times New Roman" w:hAnsi="Calibri" w:cs="Times New Roman"/>
          <w:sz w:val="18"/>
          <w:szCs w:val="18"/>
          <w:vertAlign w:val="superscript"/>
          <w:lang w:eastAsia="tr-TR"/>
        </w:rPr>
        <w:footnoteReference w:id="19"/>
      </w:r>
      <w:r w:rsidRPr="005A0B3B">
        <w:rPr>
          <w:rFonts w:ascii="Calibri" w:eastAsia="Times New Roman" w:hAnsi="Calibri" w:cs="Times New Roman"/>
          <w:sz w:val="18"/>
          <w:szCs w:val="18"/>
          <w:lang w:eastAsia="tr-TR"/>
        </w:rPr>
        <w:t>. Avam Kamarası Sağlık Komitesi’ne göre harcanmamış kaynaklar ortalaması 2007-08 ile 2009-10 arasındaki dönemde yıllık 2 milyon sterlindi; ancak bu fazlanın ne kadarının Hazine tarafından tutulduğu bilinmemektedir</w:t>
      </w:r>
      <w:r w:rsidRPr="005A0B3B">
        <w:rPr>
          <w:rFonts w:ascii="Calibri" w:eastAsia="Times New Roman" w:hAnsi="Calibri" w:cs="Times New Roman"/>
          <w:sz w:val="18"/>
          <w:szCs w:val="18"/>
          <w:vertAlign w:val="superscript"/>
          <w:lang w:eastAsia="tr-TR"/>
        </w:rPr>
        <w:footnoteReference w:id="20"/>
      </w:r>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Tekil vakıflardaki açıklar, yüksek sermaye giderleri, azalan gelir ve geri ödemelerdeki değişiklikler nedeniyle artmaktadır. Giderler bir havuzda toplanmadığı (</w:t>
      </w:r>
      <w:proofErr w:type="spellStart"/>
      <w:r w:rsidRPr="005A0B3B">
        <w:rPr>
          <w:rFonts w:ascii="Calibri" w:eastAsia="Times New Roman" w:hAnsi="Calibri" w:cs="Times New Roman"/>
          <w:sz w:val="18"/>
          <w:szCs w:val="18"/>
          <w:lang w:eastAsia="tr-TR"/>
        </w:rPr>
        <w:t>USH’nin</w:t>
      </w:r>
      <w:proofErr w:type="spellEnd"/>
      <w:r w:rsidRPr="005A0B3B">
        <w:rPr>
          <w:rFonts w:ascii="Calibri" w:eastAsia="Times New Roman" w:hAnsi="Calibri" w:cs="Times New Roman"/>
          <w:sz w:val="18"/>
          <w:szCs w:val="18"/>
          <w:lang w:eastAsia="tr-TR"/>
        </w:rPr>
        <w:t xml:space="preserve"> tümünce paylaşılmadığı) sürece tekil vakıf düzeyindeki bir başa </w:t>
      </w:r>
      <w:proofErr w:type="gramStart"/>
      <w:r w:rsidRPr="005A0B3B">
        <w:rPr>
          <w:rFonts w:ascii="Calibri" w:eastAsia="Times New Roman" w:hAnsi="Calibri" w:cs="Times New Roman"/>
          <w:sz w:val="18"/>
          <w:szCs w:val="18"/>
          <w:lang w:eastAsia="tr-TR"/>
        </w:rPr>
        <w:t>baş noktası</w:t>
      </w:r>
      <w:proofErr w:type="gramEnd"/>
      <w:r w:rsidRPr="005A0B3B">
        <w:rPr>
          <w:rFonts w:ascii="Calibri" w:eastAsia="Times New Roman" w:hAnsi="Calibri" w:cs="Times New Roman"/>
          <w:sz w:val="18"/>
          <w:szCs w:val="18"/>
          <w:lang w:eastAsia="tr-TR"/>
        </w:rPr>
        <w:t xml:space="preserve"> bile kapanma ve USH varlıklarının satışıyla sonuçlanacaktır.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Vakıf düzeyindeki açıklar, merkezi hükümetin beş politikasının sonucudur: </w:t>
      </w:r>
    </w:p>
    <w:p w:rsidR="007225B4" w:rsidRPr="005A0B3B" w:rsidRDefault="007225B4" w:rsidP="007225B4">
      <w:pPr>
        <w:numPr>
          <w:ilvl w:val="0"/>
          <w:numId w:val="8"/>
        </w:num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lastRenderedPageBreak/>
        <w:t xml:space="preserve">Fazlaların vakıf hastanelerinin elinde tutulmasına izin veren vakıf politikası. </w:t>
      </w:r>
      <w:proofErr w:type="gramEnd"/>
      <w:r w:rsidRPr="005A0B3B">
        <w:rPr>
          <w:rFonts w:ascii="Calibri" w:eastAsia="Times New Roman" w:hAnsi="Calibri" w:cs="Times New Roman"/>
          <w:sz w:val="18"/>
          <w:szCs w:val="18"/>
          <w:lang w:eastAsia="tr-TR"/>
        </w:rPr>
        <w:t xml:space="preserve">Güneydoğu Londra’da </w:t>
      </w:r>
      <w:proofErr w:type="spellStart"/>
      <w:r w:rsidRPr="005A0B3B">
        <w:rPr>
          <w:rFonts w:ascii="Calibri" w:eastAsia="Times New Roman" w:hAnsi="Calibri" w:cs="Times New Roman"/>
          <w:sz w:val="18"/>
          <w:szCs w:val="18"/>
          <w:lang w:eastAsia="tr-TR"/>
        </w:rPr>
        <w:t>Guy’s</w:t>
      </w:r>
      <w:proofErr w:type="spellEnd"/>
      <w:r w:rsidRPr="005A0B3B">
        <w:rPr>
          <w:rFonts w:ascii="Calibri" w:eastAsia="Times New Roman" w:hAnsi="Calibri" w:cs="Times New Roman"/>
          <w:sz w:val="18"/>
          <w:szCs w:val="18"/>
          <w:lang w:eastAsia="tr-TR"/>
        </w:rPr>
        <w:t xml:space="preserve"> vakfı üç yıllık bir dönemde (2008-09-2010-2011) 39 milyon sterlin tutarında bir fazla sağlamış ve bunu elinde tutmuştur</w:t>
      </w:r>
      <w:r w:rsidRPr="005A0B3B">
        <w:rPr>
          <w:rFonts w:ascii="Calibri" w:eastAsia="Times New Roman" w:hAnsi="Calibri" w:cs="Times New Roman"/>
          <w:sz w:val="18"/>
          <w:szCs w:val="18"/>
          <w:vertAlign w:val="superscript"/>
          <w:lang w:eastAsia="tr-TR"/>
        </w:rPr>
        <w:footnoteReference w:id="21"/>
      </w:r>
      <w:r w:rsidRPr="005A0B3B">
        <w:rPr>
          <w:rFonts w:ascii="Calibri" w:eastAsia="Times New Roman" w:hAnsi="Calibri" w:cs="Times New Roman"/>
          <w:sz w:val="18"/>
          <w:szCs w:val="18"/>
          <w:lang w:eastAsia="tr-TR"/>
        </w:rPr>
        <w:t xml:space="preserve">. (şekil 2, </w:t>
      </w:r>
      <w:r w:rsidRPr="005A0B3B">
        <w:rPr>
          <w:rFonts w:ascii="Calibri" w:eastAsia="Times New Roman" w:hAnsi="Calibri" w:cs="Times New Roman"/>
          <w:i/>
          <w:sz w:val="18"/>
          <w:szCs w:val="18"/>
          <w:lang w:eastAsia="tr-TR"/>
        </w:rPr>
        <w:t>sayfa</w:t>
      </w:r>
      <w:r w:rsidRPr="005A0B3B">
        <w:rPr>
          <w:rFonts w:ascii="Calibri" w:eastAsia="Times New Roman" w:hAnsi="Calibri" w:cs="Times New Roman"/>
          <w:sz w:val="18"/>
          <w:szCs w:val="18"/>
          <w:lang w:eastAsia="tr-TR"/>
        </w:rPr>
        <w:t xml:space="preserve"> 3) </w:t>
      </w:r>
    </w:p>
    <w:p w:rsidR="007225B4" w:rsidRPr="005A0B3B" w:rsidRDefault="007225B4" w:rsidP="007225B4">
      <w:pPr>
        <w:numPr>
          <w:ilvl w:val="0"/>
          <w:numId w:val="8"/>
        </w:num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KGG’lerin</w:t>
      </w:r>
      <w:proofErr w:type="spellEnd"/>
      <w:r w:rsidRPr="005A0B3B">
        <w:rPr>
          <w:rFonts w:ascii="Calibri" w:eastAsia="Times New Roman" w:hAnsi="Calibri" w:cs="Times New Roman"/>
          <w:sz w:val="18"/>
          <w:szCs w:val="18"/>
          <w:lang w:eastAsia="tr-TR"/>
        </w:rPr>
        <w:t xml:space="preserve"> fazlaları Sağlık Bakanlığı’na iade etmelerinin zorunlu tutulması. 2011-12 döneminde, Güneydoğu Londra’da </w:t>
      </w:r>
      <w:proofErr w:type="spellStart"/>
      <w:r w:rsidRPr="005A0B3B">
        <w:rPr>
          <w:rFonts w:ascii="Calibri" w:eastAsia="Times New Roman" w:hAnsi="Calibri" w:cs="Times New Roman"/>
          <w:sz w:val="18"/>
          <w:szCs w:val="18"/>
          <w:lang w:eastAsia="tr-TR"/>
        </w:rPr>
        <w:t>Guy’s</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King’s</w:t>
      </w:r>
      <w:proofErr w:type="spellEnd"/>
      <w:r w:rsidRPr="005A0B3B">
        <w:rPr>
          <w:rFonts w:ascii="Calibri" w:eastAsia="Times New Roman" w:hAnsi="Calibri" w:cs="Times New Roman"/>
          <w:sz w:val="18"/>
          <w:szCs w:val="18"/>
          <w:lang w:eastAsia="tr-TR"/>
        </w:rPr>
        <w:t xml:space="preserve">, Lewisham ve GLSHV olmak üzere dört akut vakıftan hizmet satın alan altı Güneydoğu Londra </w:t>
      </w:r>
      <w:proofErr w:type="spellStart"/>
      <w:r w:rsidRPr="005A0B3B">
        <w:rPr>
          <w:rFonts w:ascii="Calibri" w:eastAsia="Times New Roman" w:hAnsi="Calibri" w:cs="Times New Roman"/>
          <w:sz w:val="18"/>
          <w:szCs w:val="18"/>
          <w:lang w:eastAsia="tr-TR"/>
        </w:rPr>
        <w:t>KGG’si</w:t>
      </w:r>
      <w:proofErr w:type="spellEnd"/>
      <w:r w:rsidRPr="005A0B3B">
        <w:rPr>
          <w:rFonts w:ascii="Calibri" w:eastAsia="Times New Roman" w:hAnsi="Calibri" w:cs="Times New Roman"/>
          <w:sz w:val="18"/>
          <w:szCs w:val="18"/>
          <w:lang w:eastAsia="tr-TR"/>
        </w:rPr>
        <w:t xml:space="preserve"> Hazine’ye 31 milyon sterlin iade etmiştir (21).  (şekil 3, </w:t>
      </w:r>
      <w:r w:rsidRPr="005A0B3B">
        <w:rPr>
          <w:rFonts w:ascii="Calibri" w:eastAsia="Times New Roman" w:hAnsi="Calibri" w:cs="Times New Roman"/>
          <w:i/>
          <w:sz w:val="18"/>
          <w:szCs w:val="18"/>
          <w:lang w:eastAsia="tr-TR"/>
        </w:rPr>
        <w:t>sayfa</w:t>
      </w:r>
      <w:r w:rsidRPr="005A0B3B">
        <w:rPr>
          <w:rFonts w:ascii="Calibri" w:eastAsia="Times New Roman" w:hAnsi="Calibri" w:cs="Times New Roman"/>
          <w:sz w:val="18"/>
          <w:szCs w:val="18"/>
          <w:lang w:eastAsia="tr-TR"/>
        </w:rPr>
        <w:t xml:space="preserve"> 4)</w:t>
      </w:r>
    </w:p>
    <w:p w:rsidR="007225B4" w:rsidRPr="005A0B3B" w:rsidRDefault="005A0B3B" w:rsidP="007225B4">
      <w:pPr>
        <w:numPr>
          <w:ilvl w:val="0"/>
          <w:numId w:val="8"/>
        </w:num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KÖO</w:t>
      </w:r>
      <w:r w:rsidR="007225B4" w:rsidRPr="005A0B3B">
        <w:rPr>
          <w:rFonts w:ascii="Calibri" w:eastAsia="Times New Roman" w:hAnsi="Calibri" w:cs="Times New Roman"/>
          <w:sz w:val="18"/>
          <w:szCs w:val="18"/>
          <w:lang w:eastAsia="tr-TR"/>
        </w:rPr>
        <w:t>’nin</w:t>
      </w:r>
      <w:proofErr w:type="spellEnd"/>
      <w:r w:rsidR="007225B4" w:rsidRPr="005A0B3B">
        <w:rPr>
          <w:rFonts w:ascii="Calibri" w:eastAsia="Times New Roman" w:hAnsi="Calibri" w:cs="Times New Roman"/>
          <w:sz w:val="18"/>
          <w:szCs w:val="18"/>
          <w:lang w:eastAsia="tr-TR"/>
        </w:rPr>
        <w:t xml:space="preserve"> aşırı giderleri. USH kaynakları söz konusu olduğunda birinci öncelik </w:t>
      </w:r>
      <w:proofErr w:type="spellStart"/>
      <w:r w:rsidRPr="005A0B3B">
        <w:rPr>
          <w:rFonts w:ascii="Calibri" w:eastAsia="Times New Roman" w:hAnsi="Calibri" w:cs="Times New Roman"/>
          <w:sz w:val="18"/>
          <w:szCs w:val="18"/>
          <w:lang w:eastAsia="tr-TR"/>
        </w:rPr>
        <w:t>KÖO</w:t>
      </w:r>
      <w:r w:rsidR="007225B4" w:rsidRPr="005A0B3B">
        <w:rPr>
          <w:rFonts w:ascii="Calibri" w:eastAsia="Times New Roman" w:hAnsi="Calibri" w:cs="Times New Roman"/>
          <w:sz w:val="18"/>
          <w:szCs w:val="18"/>
          <w:lang w:eastAsia="tr-TR"/>
        </w:rPr>
        <w:t>’nindir</w:t>
      </w:r>
      <w:proofErr w:type="spellEnd"/>
      <w:r w:rsidR="007225B4" w:rsidRPr="005A0B3B">
        <w:rPr>
          <w:rFonts w:ascii="Calibri" w:eastAsia="Times New Roman" w:hAnsi="Calibri" w:cs="Times New Roman"/>
          <w:sz w:val="18"/>
          <w:szCs w:val="18"/>
          <w:lang w:eastAsia="tr-TR"/>
        </w:rPr>
        <w:t xml:space="preserve">. Bu politikanın sürdürülebilmesi için </w:t>
      </w:r>
      <w:proofErr w:type="spellStart"/>
      <w:r w:rsidR="007225B4" w:rsidRPr="005A0B3B">
        <w:rPr>
          <w:rFonts w:ascii="Calibri" w:eastAsia="Times New Roman" w:hAnsi="Calibri" w:cs="Times New Roman"/>
          <w:sz w:val="18"/>
          <w:szCs w:val="18"/>
          <w:lang w:eastAsia="tr-TR"/>
        </w:rPr>
        <w:t>USH’nin</w:t>
      </w:r>
      <w:proofErr w:type="spellEnd"/>
      <w:r w:rsidR="007225B4" w:rsidRPr="005A0B3B">
        <w:rPr>
          <w:rFonts w:ascii="Calibri" w:eastAsia="Times New Roman" w:hAnsi="Calibri" w:cs="Times New Roman"/>
          <w:sz w:val="18"/>
          <w:szCs w:val="18"/>
          <w:lang w:eastAsia="tr-TR"/>
        </w:rPr>
        <w:t xml:space="preserve"> başka bölümlerinden alınan milyonlarca pound ile sübvansiyon ve destek sağlanmaktadır. </w:t>
      </w:r>
      <w:r w:rsidRPr="005A0B3B">
        <w:rPr>
          <w:rFonts w:ascii="Calibri" w:eastAsia="Times New Roman" w:hAnsi="Calibri" w:cs="Times New Roman"/>
          <w:sz w:val="18"/>
          <w:szCs w:val="18"/>
          <w:lang w:eastAsia="tr-TR"/>
        </w:rPr>
        <w:t>KÖO</w:t>
      </w:r>
      <w:r w:rsidR="007225B4" w:rsidRPr="005A0B3B">
        <w:rPr>
          <w:rFonts w:ascii="Calibri" w:eastAsia="Times New Roman" w:hAnsi="Calibri" w:cs="Times New Roman"/>
          <w:sz w:val="18"/>
          <w:szCs w:val="18"/>
          <w:lang w:eastAsia="tr-TR"/>
        </w:rPr>
        <w:t xml:space="preserve"> pasifleri gelirlerdeki azalmanın ve açıkların başlıca nedenidir. Ne var ki, </w:t>
      </w:r>
      <w:r w:rsidRPr="005A0B3B">
        <w:rPr>
          <w:rFonts w:ascii="Calibri" w:eastAsia="Times New Roman" w:hAnsi="Calibri" w:cs="Times New Roman"/>
          <w:sz w:val="18"/>
          <w:szCs w:val="18"/>
          <w:lang w:eastAsia="tr-TR"/>
        </w:rPr>
        <w:t>KÖO</w:t>
      </w:r>
      <w:r w:rsidR="007225B4" w:rsidRPr="005A0B3B">
        <w:rPr>
          <w:rFonts w:ascii="Calibri" w:eastAsia="Times New Roman" w:hAnsi="Calibri" w:cs="Times New Roman"/>
          <w:sz w:val="18"/>
          <w:szCs w:val="18"/>
          <w:lang w:eastAsia="tr-TR"/>
        </w:rPr>
        <w:t xml:space="preserve"> pasifleri </w:t>
      </w:r>
      <w:r w:rsidRPr="005A0B3B">
        <w:rPr>
          <w:rFonts w:ascii="Calibri" w:eastAsia="Times New Roman" w:hAnsi="Calibri" w:cs="Times New Roman"/>
          <w:sz w:val="18"/>
          <w:szCs w:val="18"/>
          <w:lang w:eastAsia="tr-TR"/>
        </w:rPr>
        <w:t>KÖO</w:t>
      </w:r>
      <w:r w:rsidR="007225B4" w:rsidRPr="005A0B3B">
        <w:rPr>
          <w:rFonts w:ascii="Calibri" w:eastAsia="Times New Roman" w:hAnsi="Calibri" w:cs="Times New Roman"/>
          <w:sz w:val="18"/>
          <w:szCs w:val="18"/>
          <w:lang w:eastAsia="tr-TR"/>
        </w:rPr>
        <w:t xml:space="preserve"> varlıklarının satışıyla çözülemez; çünkü kamu kesimi 30 yıl ya da daha uzun bir süreyle özel sektöre ödeme yapmak üzere sözleşme imzalamıştır ve eldeki varlıkların satılması bu yükümlülüğü ortadan kaldırmamaktadır. Böylece, </w:t>
      </w:r>
      <w:r w:rsidRPr="005A0B3B">
        <w:rPr>
          <w:rFonts w:ascii="Calibri" w:eastAsia="Times New Roman" w:hAnsi="Calibri" w:cs="Times New Roman"/>
          <w:sz w:val="18"/>
          <w:szCs w:val="18"/>
          <w:lang w:eastAsia="tr-TR"/>
        </w:rPr>
        <w:t>KÖO</w:t>
      </w:r>
      <w:r w:rsidR="007225B4" w:rsidRPr="005A0B3B">
        <w:rPr>
          <w:rFonts w:ascii="Calibri" w:eastAsia="Times New Roman" w:hAnsi="Calibri" w:cs="Times New Roman"/>
          <w:sz w:val="18"/>
          <w:szCs w:val="18"/>
          <w:lang w:eastAsia="tr-TR"/>
        </w:rPr>
        <w:t xml:space="preserve"> dışı hastaneler kapatılmakta, alanları da satılmaktadır. Durum, </w:t>
      </w:r>
      <w:proofErr w:type="spellStart"/>
      <w:r w:rsidR="007225B4" w:rsidRPr="005A0B3B">
        <w:rPr>
          <w:rFonts w:ascii="Calibri" w:eastAsia="Times New Roman" w:hAnsi="Calibri" w:cs="Times New Roman"/>
          <w:sz w:val="18"/>
          <w:szCs w:val="18"/>
          <w:lang w:eastAsia="tr-TR"/>
        </w:rPr>
        <w:t>USH’de</w:t>
      </w:r>
      <w:proofErr w:type="spellEnd"/>
      <w:r w:rsidR="007225B4" w:rsidRPr="005A0B3B">
        <w:rPr>
          <w:rFonts w:ascii="Calibri" w:eastAsia="Times New Roman" w:hAnsi="Calibri" w:cs="Times New Roman"/>
          <w:sz w:val="18"/>
          <w:szCs w:val="18"/>
          <w:lang w:eastAsia="tr-TR"/>
        </w:rPr>
        <w:t xml:space="preserve"> ilk OFG anlaşmalarının imzalanmasından bu yana böyledir. Sayıştay'ın ısrarına rağmen sözleşmelerin yeniden pazarlık konusu yapılması alternatifi üzerinde ciddi biçimde düşünülmesi gerekmektedir</w:t>
      </w:r>
      <w:r w:rsidR="007225B4" w:rsidRPr="005A0B3B">
        <w:rPr>
          <w:rFonts w:ascii="Calibri" w:eastAsia="Times New Roman" w:hAnsi="Calibri" w:cs="Times New Roman"/>
          <w:sz w:val="18"/>
          <w:szCs w:val="18"/>
          <w:vertAlign w:val="superscript"/>
          <w:lang w:eastAsia="tr-TR"/>
        </w:rPr>
        <w:footnoteReference w:id="22"/>
      </w:r>
      <w:r w:rsidR="007225B4" w:rsidRPr="005A0B3B">
        <w:rPr>
          <w:rFonts w:ascii="Calibri" w:eastAsia="Times New Roman" w:hAnsi="Calibri" w:cs="Times New Roman"/>
          <w:sz w:val="18"/>
          <w:szCs w:val="18"/>
          <w:lang w:eastAsia="tr-TR"/>
        </w:rPr>
        <w:t xml:space="preserve">. Bu seçenek VÖİ tarafından dikkate alınmamıştır. </w:t>
      </w:r>
    </w:p>
    <w:p w:rsidR="007225B4" w:rsidRPr="005A0B3B" w:rsidRDefault="007225B4" w:rsidP="007225B4">
      <w:pPr>
        <w:numPr>
          <w:ilvl w:val="0"/>
          <w:numId w:val="8"/>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Ulusal Tarifedeki deflâsyonun etkisi. Vakıf gelirindeki azalmanın nedeni tarifedeki deflâsyondur. Bundan kastedilen, kaza, acil durum ve doğum bakımı için yapılan ödemelerde azalmaya yol açmak üzere, yeni tarife ve politikalar uyarınca yapılan ödemelerin kısılmasıdır. </w:t>
      </w:r>
    </w:p>
    <w:p w:rsidR="007225B4" w:rsidRPr="005A0B3B" w:rsidRDefault="007225B4" w:rsidP="007225B4">
      <w:pPr>
        <w:numPr>
          <w:ilvl w:val="0"/>
          <w:numId w:val="8"/>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2015 yılına kadar 20 milyon sterline ulaşacak Kalite, Yenilik, Verimlilik ve Önleme (QIPP) tasarrufları merkezden dayatılan tasarruflardır ve bu tasarruf tarife yoluyla, yerel düzeyde ve KGG ödeneklerinde yapılan ayarlamalarla sağlanacaktır.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Tablo 3, GD Londra’daki </w:t>
      </w:r>
      <w:proofErr w:type="spellStart"/>
      <w:r w:rsidRPr="005A0B3B">
        <w:rPr>
          <w:rFonts w:ascii="Calibri" w:eastAsia="Times New Roman" w:hAnsi="Calibri" w:cs="Times New Roman"/>
          <w:sz w:val="18"/>
          <w:szCs w:val="18"/>
          <w:lang w:eastAsia="tr-TR"/>
        </w:rPr>
        <w:t>KGG’lerin</w:t>
      </w:r>
      <w:proofErr w:type="spellEnd"/>
      <w:r w:rsidRPr="005A0B3B">
        <w:rPr>
          <w:rFonts w:ascii="Calibri" w:eastAsia="Times New Roman" w:hAnsi="Calibri" w:cs="Times New Roman"/>
          <w:sz w:val="18"/>
          <w:szCs w:val="18"/>
          <w:lang w:eastAsia="tr-TR"/>
        </w:rPr>
        <w:t xml:space="preserve"> 2015-16 dönemine kadar olan üç yıl içinde sağlamak durumunda oldukları QIPP (Kalite, Yenilik, Verimlilik ve Önleme) tasarruflarını göstermektedir. Bu verilere göre Güneydoğu Londra </w:t>
      </w:r>
      <w:proofErr w:type="spellStart"/>
      <w:r w:rsidRPr="005A0B3B">
        <w:rPr>
          <w:rFonts w:ascii="Calibri" w:eastAsia="Times New Roman" w:hAnsi="Calibri" w:cs="Times New Roman"/>
          <w:sz w:val="18"/>
          <w:szCs w:val="18"/>
          <w:lang w:eastAsia="tr-TR"/>
        </w:rPr>
        <w:t>KGG’lerinin</w:t>
      </w:r>
      <w:proofErr w:type="spellEnd"/>
      <w:r w:rsidRPr="005A0B3B">
        <w:rPr>
          <w:rFonts w:ascii="Calibri" w:eastAsia="Times New Roman" w:hAnsi="Calibri" w:cs="Times New Roman"/>
          <w:sz w:val="18"/>
          <w:szCs w:val="18"/>
          <w:lang w:eastAsia="tr-TR"/>
        </w:rPr>
        <w:t xml:space="preserve"> sağlaması gereken toplam tasarruf 110 milyon £’</w:t>
      </w:r>
      <w:proofErr w:type="spellStart"/>
      <w:r w:rsidRPr="005A0B3B">
        <w:rPr>
          <w:rFonts w:ascii="Calibri" w:eastAsia="Times New Roman" w:hAnsi="Calibri" w:cs="Times New Roman"/>
          <w:sz w:val="18"/>
          <w:szCs w:val="18"/>
          <w:lang w:eastAsia="tr-TR"/>
        </w:rPr>
        <w:t>dir</w:t>
      </w:r>
      <w:proofErr w:type="spellEnd"/>
      <w:r w:rsidRPr="005A0B3B">
        <w:rPr>
          <w:rFonts w:ascii="Calibri" w:eastAsia="Times New Roman" w:hAnsi="Calibri" w:cs="Times New Roman"/>
          <w:sz w:val="18"/>
          <w:szCs w:val="18"/>
          <w:lang w:eastAsia="tr-TR"/>
        </w:rPr>
        <w:t xml:space="preserve"> ve bunun 30 milyonluk bir bölümü akut bakım hizmetlerindeki kalite iyileştirmeleri için yeniden yatırılacaktır. Dolayısıyla Güneydoğu Londra </w:t>
      </w:r>
      <w:proofErr w:type="spellStart"/>
      <w:r w:rsidRPr="005A0B3B">
        <w:rPr>
          <w:rFonts w:ascii="Calibri" w:eastAsia="Times New Roman" w:hAnsi="Calibri" w:cs="Times New Roman"/>
          <w:sz w:val="18"/>
          <w:szCs w:val="18"/>
          <w:lang w:eastAsia="tr-TR"/>
        </w:rPr>
        <w:t>KGG’lerinin</w:t>
      </w:r>
      <w:proofErr w:type="spellEnd"/>
      <w:r w:rsidRPr="005A0B3B">
        <w:rPr>
          <w:rFonts w:ascii="Calibri" w:eastAsia="Times New Roman" w:hAnsi="Calibri" w:cs="Times New Roman"/>
          <w:sz w:val="18"/>
          <w:szCs w:val="18"/>
          <w:lang w:eastAsia="tr-TR"/>
        </w:rPr>
        <w:t xml:space="preserve"> 2016 yılına kadar sağlamaları gereken net tasarruf 81 milyon £’</w:t>
      </w:r>
      <w:proofErr w:type="spellStart"/>
      <w:r w:rsidRPr="005A0B3B">
        <w:rPr>
          <w:rFonts w:ascii="Calibri" w:eastAsia="Times New Roman" w:hAnsi="Calibri" w:cs="Times New Roman"/>
          <w:sz w:val="18"/>
          <w:szCs w:val="18"/>
          <w:lang w:eastAsia="tr-TR"/>
        </w:rPr>
        <w:t>dir</w:t>
      </w:r>
      <w:proofErr w:type="spellEnd"/>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Üç yıllık dönem için planlanan bu tasarrufların, GD Londra’daki akut USH vakıflarının zaten sıkışık olan bütçelerine ek baskı getirmesi beklenmektedir.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t>Tablo 3:</w:t>
      </w:r>
      <w:r w:rsidRPr="005A0B3B">
        <w:rPr>
          <w:rFonts w:ascii="Calibri" w:eastAsia="Times New Roman" w:hAnsi="Calibri" w:cs="Times New Roman"/>
          <w:sz w:val="18"/>
          <w:szCs w:val="18"/>
          <w:lang w:eastAsia="tr-TR"/>
        </w:rPr>
        <w:t xml:space="preserve"> 2013-14/2015-16 döneminde Güneydoğu Londra </w:t>
      </w:r>
      <w:proofErr w:type="spellStart"/>
      <w:r w:rsidRPr="005A0B3B">
        <w:rPr>
          <w:rFonts w:ascii="Calibri" w:eastAsia="Times New Roman" w:hAnsi="Calibri" w:cs="Times New Roman"/>
          <w:sz w:val="18"/>
          <w:szCs w:val="18"/>
          <w:lang w:eastAsia="tr-TR"/>
        </w:rPr>
        <w:t>KGG’lerinin</w:t>
      </w:r>
      <w:proofErr w:type="spellEnd"/>
      <w:r w:rsidRPr="005A0B3B">
        <w:rPr>
          <w:rFonts w:ascii="Calibri" w:eastAsia="Times New Roman" w:hAnsi="Calibri" w:cs="Times New Roman"/>
          <w:sz w:val="18"/>
          <w:szCs w:val="18"/>
          <w:lang w:eastAsia="tr-TR"/>
        </w:rPr>
        <w:t xml:space="preserve"> gerçekleştirmesi gereken Kalite, Yenilik, Verimlilik ve Önleme (QIPP) tasarrufları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0"/>
        <w:gridCol w:w="1339"/>
      </w:tblGrid>
      <w:tr w:rsidR="007225B4" w:rsidRPr="005A0B3B" w:rsidTr="007225B4">
        <w:tc>
          <w:tcPr>
            <w:tcW w:w="3070" w:type="dxa"/>
          </w:tcPr>
          <w:p w:rsidR="007225B4" w:rsidRPr="005A0B3B" w:rsidRDefault="007225B4" w:rsidP="007225B4">
            <w:pPr>
              <w:jc w:val="both"/>
              <w:rPr>
                <w:rFonts w:ascii="Calibri" w:eastAsia="Times New Roman" w:hAnsi="Calibri" w:cs="Times New Roman"/>
                <w:sz w:val="18"/>
                <w:szCs w:val="18"/>
                <w:lang w:eastAsia="tr-TR"/>
              </w:rPr>
            </w:pPr>
          </w:p>
        </w:tc>
        <w:tc>
          <w:tcPr>
            <w:tcW w:w="3070" w:type="dxa"/>
          </w:tcPr>
          <w:p w:rsidR="007225B4" w:rsidRPr="005A0B3B" w:rsidRDefault="007225B4" w:rsidP="007225B4">
            <w:pPr>
              <w:jc w:val="both"/>
              <w:rPr>
                <w:rFonts w:ascii="Calibri" w:eastAsia="Times New Roman" w:hAnsi="Calibri" w:cs="Times New Roman"/>
                <w:sz w:val="18"/>
                <w:szCs w:val="18"/>
                <w:lang w:eastAsia="tr-TR"/>
              </w:rPr>
            </w:pPr>
          </w:p>
        </w:tc>
        <w:tc>
          <w:tcPr>
            <w:tcW w:w="1339" w:type="dxa"/>
          </w:tcPr>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Milyon £</w:t>
            </w:r>
          </w:p>
        </w:tc>
      </w:tr>
      <w:tr w:rsidR="007225B4" w:rsidRPr="005A0B3B" w:rsidTr="007225B4">
        <w:tc>
          <w:tcPr>
            <w:tcW w:w="3070"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Akut bakım QIPP tasarrufları</w:t>
            </w: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Akut bakım dışı QIPP tasarrufları</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Toplam QIPP tasarrufu</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Akut QIPP için yatırım</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Net QIPP tasarrufu</w:t>
            </w:r>
          </w:p>
        </w:tc>
        <w:tc>
          <w:tcPr>
            <w:tcW w:w="3070"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Kaza ve acil durum</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Ayakta tedavi</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Randevulu hizmetler</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Diğer hizmetler</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Toplam akut</w:t>
            </w:r>
          </w:p>
        </w:tc>
        <w:tc>
          <w:tcPr>
            <w:tcW w:w="1339" w:type="dxa"/>
          </w:tcPr>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3.6</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14.4</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25.2</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28.8</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72.0</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39.0</w:t>
            </w:r>
          </w:p>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111.0</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30.0</w:t>
            </w:r>
          </w:p>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81.0</w:t>
            </w:r>
          </w:p>
          <w:p w:rsidR="007225B4" w:rsidRPr="005A0B3B" w:rsidRDefault="007225B4" w:rsidP="007225B4">
            <w:pPr>
              <w:jc w:val="center"/>
              <w:rPr>
                <w:rFonts w:ascii="Calibri" w:eastAsia="Times New Roman" w:hAnsi="Calibri" w:cs="Times New Roman"/>
                <w:sz w:val="18"/>
                <w:szCs w:val="18"/>
                <w:lang w:eastAsia="tr-TR"/>
              </w:rPr>
            </w:pPr>
          </w:p>
        </w:tc>
      </w:tr>
    </w:tbl>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 xml:space="preserve">Kaynak: Vakıf Özel İdaresi. </w:t>
      </w:r>
      <w:proofErr w:type="gramEnd"/>
      <w:r w:rsidRPr="005A0B3B">
        <w:rPr>
          <w:rFonts w:ascii="Calibri" w:eastAsia="Times New Roman" w:hAnsi="Calibri" w:cs="Times New Roman"/>
          <w:i/>
          <w:sz w:val="18"/>
          <w:szCs w:val="18"/>
          <w:lang w:eastAsia="tr-TR"/>
        </w:rPr>
        <w:t>Ek M Finansman, Sermaye ve Varlık Değerlendirmesi</w:t>
      </w:r>
      <w:r w:rsidRPr="005A0B3B">
        <w:rPr>
          <w:rFonts w:ascii="Calibri" w:eastAsia="Times New Roman" w:hAnsi="Calibri" w:cs="Times New Roman"/>
          <w:sz w:val="18"/>
          <w:szCs w:val="18"/>
          <w:lang w:eastAsia="tr-TR"/>
        </w:rPr>
        <w:t xml:space="preserve">. Ocak, 2013 </w:t>
      </w:r>
    </w:p>
    <w:p w:rsidR="007225B4" w:rsidRPr="005A0B3B" w:rsidRDefault="007225B4" w:rsidP="007225B4">
      <w:pPr>
        <w:jc w:val="both"/>
        <w:rPr>
          <w:rFonts w:ascii="Calibri" w:eastAsia="Times New Roman" w:hAnsi="Calibri" w:cs="Times New Roman"/>
          <w:b/>
          <w:sz w:val="18"/>
          <w:szCs w:val="18"/>
          <w:lang w:eastAsia="tr-TR"/>
        </w:rPr>
      </w:pPr>
      <w:proofErr w:type="spellStart"/>
      <w:r w:rsidRPr="005A0B3B">
        <w:rPr>
          <w:rFonts w:ascii="Calibri" w:eastAsia="Times New Roman" w:hAnsi="Calibri" w:cs="Times New Roman"/>
          <w:b/>
          <w:sz w:val="18"/>
          <w:szCs w:val="18"/>
          <w:lang w:eastAsia="tr-TR"/>
        </w:rPr>
        <w:t>Operasyonel</w:t>
      </w:r>
      <w:proofErr w:type="spellEnd"/>
      <w:r w:rsidRPr="005A0B3B">
        <w:rPr>
          <w:rFonts w:ascii="Calibri" w:eastAsia="Times New Roman" w:hAnsi="Calibri" w:cs="Times New Roman"/>
          <w:b/>
          <w:sz w:val="18"/>
          <w:szCs w:val="18"/>
          <w:lang w:eastAsia="tr-TR"/>
        </w:rPr>
        <w:t xml:space="preserve"> etkinlikle ilgili VÖİ değerlendirmesi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VÖİ raporu, </w:t>
      </w:r>
      <w:proofErr w:type="spellStart"/>
      <w:r w:rsidRPr="005A0B3B">
        <w:rPr>
          <w:rFonts w:ascii="Calibri" w:eastAsia="Times New Roman" w:hAnsi="Calibri" w:cs="Times New Roman"/>
          <w:sz w:val="18"/>
          <w:szCs w:val="18"/>
          <w:lang w:eastAsia="tr-TR"/>
        </w:rPr>
        <w:t>GLSHV’nin</w:t>
      </w:r>
      <w:proofErr w:type="spellEnd"/>
      <w:r w:rsidRPr="005A0B3B">
        <w:rPr>
          <w:rFonts w:ascii="Calibri" w:eastAsia="Times New Roman" w:hAnsi="Calibri" w:cs="Times New Roman"/>
          <w:sz w:val="18"/>
          <w:szCs w:val="18"/>
          <w:lang w:eastAsia="tr-TR"/>
        </w:rPr>
        <w:t xml:space="preserve"> yıllık açıklarının başlıca nedeninin </w:t>
      </w:r>
      <w:proofErr w:type="spellStart"/>
      <w:r w:rsidRPr="005A0B3B">
        <w:rPr>
          <w:rFonts w:ascii="Calibri" w:eastAsia="Times New Roman" w:hAnsi="Calibri" w:cs="Times New Roman"/>
          <w:sz w:val="18"/>
          <w:szCs w:val="18"/>
          <w:lang w:eastAsia="tr-TR"/>
        </w:rPr>
        <w:t>operasyonel</w:t>
      </w:r>
      <w:proofErr w:type="spellEnd"/>
      <w:r w:rsidRPr="005A0B3B">
        <w:rPr>
          <w:rFonts w:ascii="Calibri" w:eastAsia="Times New Roman" w:hAnsi="Calibri" w:cs="Times New Roman"/>
          <w:sz w:val="18"/>
          <w:szCs w:val="18"/>
          <w:lang w:eastAsia="tr-TR"/>
        </w:rPr>
        <w:t xml:space="preserve"> ve yönetsel etkinliğin sağlanamaması olduğunu, bunun da kısmen aşırı mekân ve personel kullanımından kaynaklandığını ileri sürmektedir (2) (</w:t>
      </w:r>
      <w:r w:rsidRPr="005A0B3B">
        <w:rPr>
          <w:rFonts w:ascii="Calibri" w:eastAsia="Times New Roman" w:hAnsi="Calibri" w:cs="Times New Roman"/>
          <w:i/>
          <w:sz w:val="18"/>
          <w:szCs w:val="18"/>
          <w:lang w:eastAsia="tr-TR"/>
        </w:rPr>
        <w:t>sayfa</w:t>
      </w:r>
      <w:r w:rsidRPr="005A0B3B">
        <w:rPr>
          <w:rFonts w:ascii="Calibri" w:eastAsia="Times New Roman" w:hAnsi="Calibri" w:cs="Times New Roman"/>
          <w:sz w:val="18"/>
          <w:szCs w:val="18"/>
          <w:lang w:eastAsia="tr-TR"/>
        </w:rPr>
        <w:t xml:space="preserve"> 41)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Tablo 4 ise </w:t>
      </w:r>
      <w:proofErr w:type="spellStart"/>
      <w:r w:rsidRPr="005A0B3B">
        <w:rPr>
          <w:rFonts w:ascii="Calibri" w:eastAsia="Times New Roman" w:hAnsi="Calibri" w:cs="Times New Roman"/>
          <w:sz w:val="18"/>
          <w:szCs w:val="18"/>
          <w:lang w:eastAsia="tr-TR"/>
        </w:rPr>
        <w:t>VÖİ’nin</w:t>
      </w:r>
      <w:proofErr w:type="spellEnd"/>
      <w:r w:rsidRPr="005A0B3B">
        <w:rPr>
          <w:rFonts w:ascii="Calibri" w:eastAsia="Times New Roman" w:hAnsi="Calibri" w:cs="Times New Roman"/>
          <w:sz w:val="18"/>
          <w:szCs w:val="18"/>
          <w:lang w:eastAsia="tr-TR"/>
        </w:rPr>
        <w:t xml:space="preserve"> genel durumu yanlış sunduğunu göstermektedir. </w:t>
      </w:r>
      <w:proofErr w:type="spellStart"/>
      <w:r w:rsidRPr="005A0B3B">
        <w:rPr>
          <w:rFonts w:ascii="Calibri" w:eastAsia="Times New Roman" w:hAnsi="Calibri" w:cs="Times New Roman"/>
          <w:sz w:val="18"/>
          <w:szCs w:val="18"/>
          <w:lang w:eastAsia="tr-TR"/>
        </w:rPr>
        <w:t>VÖİ’nin</w:t>
      </w:r>
      <w:proofErr w:type="spellEnd"/>
      <w:r w:rsidRPr="005A0B3B">
        <w:rPr>
          <w:rFonts w:ascii="Calibri" w:eastAsia="Times New Roman" w:hAnsi="Calibri" w:cs="Times New Roman"/>
          <w:sz w:val="18"/>
          <w:szCs w:val="18"/>
          <w:lang w:eastAsia="tr-TR"/>
        </w:rPr>
        <w:t xml:space="preserve"> kendi verileri, toplam personelin (geçici ve daimi) ve genel ücret ödemelerinin 2009’dan 2012’ye sırasıyla %2,3 ve % 1,7% azaldığını göstermektedir.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t>Tablo 4:</w:t>
      </w:r>
      <w:r w:rsidRPr="005A0B3B">
        <w:rPr>
          <w:rFonts w:ascii="Calibri" w:eastAsia="Times New Roman" w:hAnsi="Calibri" w:cs="Times New Roman"/>
          <w:sz w:val="18"/>
          <w:szCs w:val="18"/>
          <w:lang w:eastAsia="tr-TR"/>
        </w:rPr>
        <w:t xml:space="preserve"> Güney Londra Sağlık Hizmetleri Vakfı, çalışan sayısı, geçici ve kalıcı yönetici kadrolar itibarıyla yönetici giderleri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994"/>
        <w:gridCol w:w="1104"/>
        <w:gridCol w:w="1104"/>
        <w:gridCol w:w="1104"/>
        <w:gridCol w:w="1104"/>
      </w:tblGrid>
      <w:tr w:rsidR="007225B4" w:rsidRPr="005A0B3B" w:rsidTr="007225B4">
        <w:tc>
          <w:tcPr>
            <w:tcW w:w="4796" w:type="dxa"/>
            <w:gridSpan w:val="2"/>
          </w:tcPr>
          <w:p w:rsidR="007225B4" w:rsidRPr="005A0B3B" w:rsidRDefault="007225B4" w:rsidP="007225B4">
            <w:pPr>
              <w:jc w:val="both"/>
              <w:rPr>
                <w:rFonts w:ascii="Calibri" w:eastAsia="Times New Roman" w:hAnsi="Calibri" w:cs="Times New Roman"/>
                <w:sz w:val="18"/>
                <w:szCs w:val="18"/>
                <w:lang w:eastAsia="tr-TR"/>
              </w:rPr>
            </w:pPr>
          </w:p>
        </w:tc>
        <w:tc>
          <w:tcPr>
            <w:tcW w:w="1104" w:type="dxa"/>
          </w:tcPr>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2009-10</w:t>
            </w:r>
          </w:p>
        </w:tc>
        <w:tc>
          <w:tcPr>
            <w:tcW w:w="1104" w:type="dxa"/>
          </w:tcPr>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2010-11</w:t>
            </w:r>
          </w:p>
          <w:p w:rsidR="007225B4" w:rsidRPr="005A0B3B" w:rsidRDefault="007225B4" w:rsidP="007225B4">
            <w:pPr>
              <w:rPr>
                <w:rFonts w:ascii="Calibri" w:eastAsia="Times New Roman" w:hAnsi="Calibri" w:cs="Times New Roman"/>
                <w:sz w:val="18"/>
                <w:szCs w:val="18"/>
                <w:lang w:eastAsia="tr-TR"/>
              </w:rPr>
            </w:pPr>
          </w:p>
        </w:tc>
        <w:tc>
          <w:tcPr>
            <w:tcW w:w="1104" w:type="dxa"/>
          </w:tcPr>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2011-12</w:t>
            </w:r>
          </w:p>
          <w:p w:rsidR="007225B4" w:rsidRPr="005A0B3B" w:rsidRDefault="007225B4" w:rsidP="007225B4">
            <w:pPr>
              <w:rPr>
                <w:rFonts w:ascii="Calibri" w:eastAsia="Times New Roman" w:hAnsi="Calibri" w:cs="Times New Roman"/>
                <w:sz w:val="18"/>
                <w:szCs w:val="18"/>
                <w:lang w:eastAsia="tr-TR"/>
              </w:rPr>
            </w:pPr>
          </w:p>
        </w:tc>
        <w:tc>
          <w:tcPr>
            <w:tcW w:w="1104" w:type="dxa"/>
          </w:tcPr>
          <w:p w:rsidR="007225B4" w:rsidRPr="005A0B3B" w:rsidRDefault="007225B4" w:rsidP="007225B4">
            <w:pPr>
              <w:jc w:val="center"/>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2009-12</w:t>
            </w:r>
          </w:p>
          <w:p w:rsidR="007225B4" w:rsidRPr="005A0B3B" w:rsidRDefault="007225B4" w:rsidP="007225B4">
            <w:pPr>
              <w:jc w:val="center"/>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 değişim</w:t>
            </w:r>
          </w:p>
        </w:tc>
      </w:tr>
      <w:tr w:rsidR="007225B4" w:rsidRPr="005A0B3B" w:rsidTr="007225B4">
        <w:tc>
          <w:tcPr>
            <w:tcW w:w="2802"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Banka/yedek/kuruluş personeli dışında toplam</w:t>
            </w: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Banka/yedek/kuruluş personeli</w:t>
            </w: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Toplam</w:t>
            </w:r>
          </w:p>
        </w:tc>
        <w:tc>
          <w:tcPr>
            <w:tcW w:w="1994" w:type="dxa"/>
          </w:tcPr>
          <w:p w:rsidR="007225B4" w:rsidRPr="005A0B3B" w:rsidRDefault="007225B4" w:rsidP="007225B4">
            <w:p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n</w:t>
            </w:r>
            <w:proofErr w:type="gramEnd"/>
            <w:r w:rsidRPr="005A0B3B">
              <w:rPr>
                <w:rFonts w:ascii="Calibri" w:eastAsia="Times New Roman" w:hAnsi="Calibri" w:cs="Times New Roman"/>
                <w:sz w:val="18"/>
                <w:szCs w:val="18"/>
                <w:lang w:eastAsia="tr-TR"/>
              </w:rPr>
              <w:t xml:space="preserve"> sayıda çalışan</w:t>
            </w:r>
          </w:p>
          <w:p w:rsidR="007225B4" w:rsidRPr="005A0B3B" w:rsidRDefault="007225B4" w:rsidP="007225B4">
            <w:p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milyon</w:t>
            </w:r>
            <w:proofErr w:type="gramEnd"/>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n</w:t>
            </w:r>
            <w:proofErr w:type="gramEnd"/>
            <w:r w:rsidRPr="005A0B3B">
              <w:rPr>
                <w:rFonts w:ascii="Calibri" w:eastAsia="Times New Roman" w:hAnsi="Calibri" w:cs="Times New Roman"/>
                <w:sz w:val="18"/>
                <w:szCs w:val="18"/>
                <w:lang w:eastAsia="tr-TR"/>
              </w:rPr>
              <w:t xml:space="preserve"> sayıda çalışan</w:t>
            </w:r>
          </w:p>
          <w:p w:rsidR="007225B4" w:rsidRPr="005A0B3B" w:rsidRDefault="007225B4" w:rsidP="007225B4">
            <w:p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milyon</w:t>
            </w:r>
            <w:proofErr w:type="gramEnd"/>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n</w:t>
            </w:r>
            <w:proofErr w:type="gramEnd"/>
            <w:r w:rsidRPr="005A0B3B">
              <w:rPr>
                <w:rFonts w:ascii="Calibri" w:eastAsia="Times New Roman" w:hAnsi="Calibri" w:cs="Times New Roman"/>
                <w:sz w:val="18"/>
                <w:szCs w:val="18"/>
                <w:lang w:eastAsia="tr-TR"/>
              </w:rPr>
              <w:t xml:space="preserve"> sayıda çalışan</w:t>
            </w:r>
          </w:p>
          <w:p w:rsidR="007225B4" w:rsidRPr="005A0B3B" w:rsidRDefault="007225B4" w:rsidP="007225B4">
            <w:p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milyon</w:t>
            </w:r>
            <w:proofErr w:type="gramEnd"/>
            <w:r w:rsidRPr="005A0B3B">
              <w:rPr>
                <w:rFonts w:ascii="Calibri" w:eastAsia="Times New Roman" w:hAnsi="Calibri" w:cs="Times New Roman"/>
                <w:sz w:val="18"/>
                <w:szCs w:val="18"/>
                <w:lang w:eastAsia="tr-TR"/>
              </w:rPr>
              <w:t xml:space="preserve"> £</w:t>
            </w:r>
          </w:p>
        </w:tc>
        <w:tc>
          <w:tcPr>
            <w:tcW w:w="1104" w:type="dxa"/>
          </w:tcPr>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5.771</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268,2</w:t>
            </w:r>
          </w:p>
          <w:p w:rsidR="007225B4" w:rsidRPr="005A0B3B" w:rsidRDefault="007225B4" w:rsidP="007225B4">
            <w:pPr>
              <w:jc w:val="center"/>
              <w:rPr>
                <w:rFonts w:ascii="Calibri" w:eastAsia="Times New Roman" w:hAnsi="Calibri" w:cs="Times New Roman"/>
                <w:sz w:val="18"/>
                <w:szCs w:val="18"/>
                <w:lang w:eastAsia="tr-TR"/>
              </w:rPr>
            </w:pP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742</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38,7</w:t>
            </w:r>
          </w:p>
          <w:p w:rsidR="007225B4" w:rsidRPr="005A0B3B" w:rsidRDefault="007225B4" w:rsidP="007225B4">
            <w:pPr>
              <w:jc w:val="center"/>
              <w:rPr>
                <w:rFonts w:ascii="Calibri" w:eastAsia="Times New Roman" w:hAnsi="Calibri" w:cs="Times New Roman"/>
                <w:sz w:val="18"/>
                <w:szCs w:val="18"/>
                <w:lang w:eastAsia="tr-TR"/>
              </w:rPr>
            </w:pP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6.513</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306,9</w:t>
            </w:r>
          </w:p>
        </w:tc>
        <w:tc>
          <w:tcPr>
            <w:tcW w:w="1104" w:type="dxa"/>
          </w:tcPr>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5.431</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259,5</w:t>
            </w:r>
          </w:p>
          <w:p w:rsidR="007225B4" w:rsidRPr="005A0B3B" w:rsidRDefault="007225B4" w:rsidP="007225B4">
            <w:pPr>
              <w:jc w:val="center"/>
              <w:rPr>
                <w:rFonts w:ascii="Calibri" w:eastAsia="Times New Roman" w:hAnsi="Calibri" w:cs="Times New Roman"/>
                <w:sz w:val="18"/>
                <w:szCs w:val="18"/>
                <w:lang w:eastAsia="tr-TR"/>
              </w:rPr>
            </w:pP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1.067</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34,3</w:t>
            </w:r>
          </w:p>
          <w:p w:rsidR="007225B4" w:rsidRPr="005A0B3B" w:rsidRDefault="007225B4" w:rsidP="007225B4">
            <w:pPr>
              <w:jc w:val="center"/>
              <w:rPr>
                <w:rFonts w:ascii="Calibri" w:eastAsia="Times New Roman" w:hAnsi="Calibri" w:cs="Times New Roman"/>
                <w:sz w:val="18"/>
                <w:szCs w:val="18"/>
                <w:lang w:eastAsia="tr-TR"/>
              </w:rPr>
            </w:pP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6.498</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293,8</w:t>
            </w:r>
          </w:p>
        </w:tc>
        <w:tc>
          <w:tcPr>
            <w:tcW w:w="1104" w:type="dxa"/>
          </w:tcPr>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5.367</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262,2</w:t>
            </w:r>
          </w:p>
          <w:p w:rsidR="007225B4" w:rsidRPr="005A0B3B" w:rsidRDefault="007225B4" w:rsidP="007225B4">
            <w:pPr>
              <w:jc w:val="center"/>
              <w:rPr>
                <w:rFonts w:ascii="Calibri" w:eastAsia="Times New Roman" w:hAnsi="Calibri" w:cs="Times New Roman"/>
                <w:sz w:val="18"/>
                <w:szCs w:val="18"/>
                <w:lang w:eastAsia="tr-TR"/>
              </w:rPr>
            </w:pP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995</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39,5</w:t>
            </w:r>
          </w:p>
          <w:p w:rsidR="007225B4" w:rsidRPr="005A0B3B" w:rsidRDefault="007225B4" w:rsidP="007225B4">
            <w:pPr>
              <w:jc w:val="center"/>
              <w:rPr>
                <w:rFonts w:ascii="Calibri" w:eastAsia="Times New Roman" w:hAnsi="Calibri" w:cs="Times New Roman"/>
                <w:sz w:val="18"/>
                <w:szCs w:val="18"/>
                <w:lang w:eastAsia="tr-TR"/>
              </w:rPr>
            </w:pP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6.363</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301,7</w:t>
            </w:r>
          </w:p>
        </w:tc>
        <w:tc>
          <w:tcPr>
            <w:tcW w:w="1104" w:type="dxa"/>
          </w:tcPr>
          <w:p w:rsidR="007225B4" w:rsidRPr="005A0B3B" w:rsidRDefault="007225B4" w:rsidP="007225B4">
            <w:pPr>
              <w:jc w:val="center"/>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7,0</w:t>
            </w:r>
          </w:p>
          <w:p w:rsidR="007225B4" w:rsidRPr="005A0B3B" w:rsidRDefault="007225B4" w:rsidP="007225B4">
            <w:pPr>
              <w:jc w:val="center"/>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-%2,2</w:t>
            </w:r>
          </w:p>
          <w:p w:rsidR="007225B4" w:rsidRPr="005A0B3B" w:rsidRDefault="007225B4" w:rsidP="007225B4">
            <w:pPr>
              <w:jc w:val="center"/>
              <w:rPr>
                <w:rFonts w:ascii="Calibri" w:eastAsia="Times New Roman" w:hAnsi="Calibri" w:cs="Times New Roman"/>
                <w:i/>
                <w:sz w:val="18"/>
                <w:szCs w:val="18"/>
                <w:lang w:eastAsia="tr-TR"/>
              </w:rPr>
            </w:pPr>
          </w:p>
          <w:p w:rsidR="007225B4" w:rsidRPr="005A0B3B" w:rsidRDefault="007225B4" w:rsidP="007225B4">
            <w:pPr>
              <w:jc w:val="center"/>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34,1</w:t>
            </w:r>
          </w:p>
          <w:p w:rsidR="007225B4" w:rsidRPr="005A0B3B" w:rsidRDefault="007225B4" w:rsidP="007225B4">
            <w:pPr>
              <w:jc w:val="center"/>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2,1</w:t>
            </w:r>
          </w:p>
          <w:p w:rsidR="007225B4" w:rsidRPr="005A0B3B" w:rsidRDefault="007225B4" w:rsidP="007225B4">
            <w:pPr>
              <w:jc w:val="center"/>
              <w:rPr>
                <w:rFonts w:ascii="Calibri" w:eastAsia="Times New Roman" w:hAnsi="Calibri" w:cs="Times New Roman"/>
                <w:i/>
                <w:sz w:val="18"/>
                <w:szCs w:val="18"/>
                <w:lang w:eastAsia="tr-TR"/>
              </w:rPr>
            </w:pPr>
          </w:p>
          <w:p w:rsidR="007225B4" w:rsidRPr="005A0B3B" w:rsidRDefault="007225B4" w:rsidP="007225B4">
            <w:pPr>
              <w:jc w:val="center"/>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-%2,3</w:t>
            </w:r>
          </w:p>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i/>
                <w:sz w:val="18"/>
                <w:szCs w:val="18"/>
                <w:lang w:eastAsia="tr-TR"/>
              </w:rPr>
              <w:t>-%1,7</w:t>
            </w:r>
          </w:p>
        </w:tc>
      </w:tr>
    </w:tbl>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 xml:space="preserve">Kaynak: Güney Londra Sağlık Hizmetleri Vakfı. </w:t>
      </w:r>
      <w:proofErr w:type="gramEnd"/>
      <w:r w:rsidRPr="005A0B3B">
        <w:rPr>
          <w:rFonts w:ascii="Calibri" w:eastAsia="Times New Roman" w:hAnsi="Calibri" w:cs="Times New Roman"/>
          <w:sz w:val="18"/>
          <w:szCs w:val="18"/>
          <w:lang w:eastAsia="tr-TR"/>
        </w:rPr>
        <w:t xml:space="preserve">Rejimin sürdürülemez hizmet sağlayıcılarına uygulanma gerekçesi - Güney Londra USH Vakfı. </w:t>
      </w:r>
      <w:r w:rsidRPr="005A0B3B">
        <w:rPr>
          <w:rFonts w:ascii="Calibri" w:eastAsia="Times New Roman" w:hAnsi="Calibri" w:cs="Times New Roman"/>
          <w:i/>
          <w:sz w:val="18"/>
          <w:szCs w:val="18"/>
          <w:lang w:eastAsia="tr-TR"/>
        </w:rPr>
        <w:t>Temmuz</w:t>
      </w:r>
      <w:r w:rsidRPr="005A0B3B">
        <w:rPr>
          <w:rFonts w:ascii="Calibri" w:eastAsia="Times New Roman" w:hAnsi="Calibri" w:cs="Times New Roman"/>
          <w:sz w:val="18"/>
          <w:szCs w:val="18"/>
          <w:lang w:eastAsia="tr-TR"/>
        </w:rPr>
        <w:t xml:space="preserve"> 2012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Bölüm 2: </w:t>
      </w:r>
      <w:proofErr w:type="spellStart"/>
      <w:r w:rsidRPr="005A0B3B">
        <w:rPr>
          <w:rFonts w:ascii="Calibri" w:eastAsia="Times New Roman" w:hAnsi="Calibri" w:cs="Times New Roman"/>
          <w:b/>
          <w:sz w:val="18"/>
          <w:szCs w:val="18"/>
          <w:lang w:eastAsia="tr-TR"/>
        </w:rPr>
        <w:t>VÖİ’nın</w:t>
      </w:r>
      <w:proofErr w:type="spellEnd"/>
      <w:r w:rsidRPr="005A0B3B">
        <w:rPr>
          <w:rFonts w:ascii="Calibri" w:eastAsia="Times New Roman" w:hAnsi="Calibri" w:cs="Times New Roman"/>
          <w:b/>
          <w:sz w:val="18"/>
          <w:szCs w:val="18"/>
          <w:lang w:eastAsia="tr-TR"/>
        </w:rPr>
        <w:t xml:space="preserve"> Güneydoğu Londra’da yaşayanların sağlık ihtiyaçlarını boşlaması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Güneydoğu Londra (GDL) sağlık ekonomisi şunlardan oluşmaktadır: a</w:t>
      </w:r>
      <w:proofErr w:type="gramStart"/>
      <w:r w:rsidRPr="005A0B3B">
        <w:rPr>
          <w:rFonts w:ascii="Calibri" w:eastAsia="Times New Roman" w:hAnsi="Calibri" w:cs="Times New Roman"/>
          <w:sz w:val="18"/>
          <w:szCs w:val="18"/>
          <w:lang w:eastAsia="tr-TR"/>
        </w:rPr>
        <w:t>)</w:t>
      </w:r>
      <w:proofErr w:type="gramEnd"/>
      <w:r w:rsidRPr="005A0B3B">
        <w:rPr>
          <w:rFonts w:ascii="Calibri" w:eastAsia="Times New Roman" w:hAnsi="Calibri" w:cs="Times New Roman"/>
          <w:sz w:val="18"/>
          <w:szCs w:val="18"/>
          <w:lang w:eastAsia="tr-TR"/>
        </w:rPr>
        <w:t xml:space="preserve"> yaklaşık 1,8 milyon kişiye hizmet veren altı küçük PCT (temel hizmetler kurumu) b) iki büyük eğitim ve araştırma hastanesi vakfı (</w:t>
      </w:r>
      <w:proofErr w:type="spellStart"/>
      <w:r w:rsidRPr="005A0B3B">
        <w:rPr>
          <w:rFonts w:ascii="Calibri" w:eastAsia="Times New Roman" w:hAnsi="Calibri" w:cs="Times New Roman"/>
          <w:sz w:val="18"/>
          <w:szCs w:val="18"/>
          <w:lang w:eastAsia="tr-TR"/>
        </w:rPr>
        <w:t>Guy’s</w:t>
      </w:r>
      <w:proofErr w:type="spellEnd"/>
      <w:r w:rsidRPr="005A0B3B">
        <w:rPr>
          <w:rFonts w:ascii="Calibri" w:eastAsia="Times New Roman" w:hAnsi="Calibri" w:cs="Times New Roman"/>
          <w:sz w:val="18"/>
          <w:szCs w:val="18"/>
          <w:lang w:eastAsia="tr-TR"/>
        </w:rPr>
        <w:t xml:space="preserve"> ve </w:t>
      </w:r>
      <w:proofErr w:type="spellStart"/>
      <w:r w:rsidRPr="005A0B3B">
        <w:rPr>
          <w:rFonts w:ascii="Calibri" w:eastAsia="Times New Roman" w:hAnsi="Calibri" w:cs="Times New Roman"/>
          <w:sz w:val="18"/>
          <w:szCs w:val="18"/>
          <w:lang w:eastAsia="tr-TR"/>
        </w:rPr>
        <w:t>St</w:t>
      </w:r>
      <w:proofErr w:type="spellEnd"/>
      <w:r w:rsidRPr="005A0B3B">
        <w:rPr>
          <w:rFonts w:ascii="Calibri" w:eastAsia="Times New Roman" w:hAnsi="Calibri" w:cs="Times New Roman"/>
          <w:sz w:val="18"/>
          <w:szCs w:val="18"/>
          <w:lang w:eastAsia="tr-TR"/>
        </w:rPr>
        <w:t xml:space="preserve"> Thomas’ ve </w:t>
      </w:r>
      <w:proofErr w:type="spellStart"/>
      <w:r w:rsidRPr="005A0B3B">
        <w:rPr>
          <w:rFonts w:ascii="Calibri" w:eastAsia="Times New Roman" w:hAnsi="Calibri" w:cs="Times New Roman"/>
          <w:sz w:val="18"/>
          <w:szCs w:val="18"/>
          <w:lang w:eastAsia="tr-TR"/>
        </w:rPr>
        <w:t>King’s</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College</w:t>
      </w:r>
      <w:proofErr w:type="spellEnd"/>
      <w:r w:rsidRPr="005A0B3B">
        <w:rPr>
          <w:rFonts w:ascii="Calibri" w:eastAsia="Times New Roman" w:hAnsi="Calibri" w:cs="Times New Roman"/>
          <w:sz w:val="18"/>
          <w:szCs w:val="18"/>
          <w:lang w:eastAsia="tr-TR"/>
        </w:rPr>
        <w:t xml:space="preserve"> </w:t>
      </w:r>
      <w:r w:rsidRPr="005A0B3B">
        <w:rPr>
          <w:rFonts w:ascii="Calibri" w:eastAsia="Times New Roman" w:hAnsi="Calibri" w:cs="Times New Roman"/>
          <w:sz w:val="18"/>
          <w:szCs w:val="18"/>
          <w:lang w:eastAsia="tr-TR"/>
        </w:rPr>
        <w:lastRenderedPageBreak/>
        <w:t>Hastaneleri) c) Lewisham USH Vakfı ve d) Güney Londra USH Vakfı (GLSHV).</w:t>
      </w:r>
      <w:r w:rsidRPr="005A0B3B">
        <w:rPr>
          <w:rFonts w:ascii="Calibri" w:eastAsia="Times New Roman" w:hAnsi="Calibri" w:cs="Times New Roman"/>
          <w:sz w:val="18"/>
          <w:szCs w:val="18"/>
          <w:vertAlign w:val="superscript"/>
          <w:lang w:eastAsia="tr-TR"/>
        </w:rPr>
        <w:footnoteReference w:id="23"/>
      </w:r>
      <w:r w:rsidRPr="005A0B3B">
        <w:rPr>
          <w:rFonts w:ascii="Calibri" w:eastAsia="Times New Roman" w:hAnsi="Calibri" w:cs="Times New Roman"/>
          <w:sz w:val="18"/>
          <w:szCs w:val="18"/>
          <w:lang w:eastAsia="tr-TR"/>
        </w:rPr>
        <w:t xml:space="preserve"> GLSHV üç hastane vakfının birleşmesi üzerine 1 Nisan 2009 tarihinde ortaya çıkmıştır: </w:t>
      </w:r>
      <w:proofErr w:type="spellStart"/>
      <w:r w:rsidRPr="005A0B3B">
        <w:rPr>
          <w:rFonts w:ascii="Calibri" w:eastAsia="Times New Roman" w:hAnsi="Calibri" w:cs="Times New Roman"/>
          <w:sz w:val="18"/>
          <w:szCs w:val="18"/>
          <w:lang w:eastAsia="tr-TR"/>
        </w:rPr>
        <w:t>Queen</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Mary’s</w:t>
      </w:r>
      <w:proofErr w:type="spellEnd"/>
      <w:r w:rsidRPr="005A0B3B">
        <w:rPr>
          <w:rFonts w:ascii="Calibri" w:eastAsia="Times New Roman" w:hAnsi="Calibri" w:cs="Times New Roman"/>
          <w:sz w:val="18"/>
          <w:szCs w:val="18"/>
          <w:lang w:eastAsia="tr-TR"/>
        </w:rPr>
        <w:t xml:space="preserve"> Hastanesi </w:t>
      </w:r>
      <w:proofErr w:type="spellStart"/>
      <w:r w:rsidRPr="005A0B3B">
        <w:rPr>
          <w:rFonts w:ascii="Calibri" w:eastAsia="Times New Roman" w:hAnsi="Calibri" w:cs="Times New Roman"/>
          <w:sz w:val="18"/>
          <w:szCs w:val="18"/>
          <w:lang w:eastAsia="tr-TR"/>
        </w:rPr>
        <w:t>Sidcup</w:t>
      </w:r>
      <w:proofErr w:type="spellEnd"/>
      <w:r w:rsidRPr="005A0B3B">
        <w:rPr>
          <w:rFonts w:ascii="Calibri" w:eastAsia="Times New Roman" w:hAnsi="Calibri" w:cs="Times New Roman"/>
          <w:sz w:val="18"/>
          <w:szCs w:val="18"/>
          <w:lang w:eastAsia="tr-TR"/>
        </w:rPr>
        <w:t xml:space="preserve"> USH Vakfı (QMS), </w:t>
      </w:r>
      <w:proofErr w:type="spellStart"/>
      <w:r w:rsidRPr="005A0B3B">
        <w:rPr>
          <w:rFonts w:ascii="Calibri" w:eastAsia="Times New Roman" w:hAnsi="Calibri" w:cs="Times New Roman"/>
          <w:sz w:val="18"/>
          <w:szCs w:val="18"/>
          <w:lang w:eastAsia="tr-TR"/>
        </w:rPr>
        <w:t>Queen</w:t>
      </w:r>
      <w:proofErr w:type="spellEnd"/>
      <w:r w:rsidRPr="005A0B3B">
        <w:rPr>
          <w:rFonts w:ascii="Calibri" w:eastAsia="Times New Roman" w:hAnsi="Calibri" w:cs="Times New Roman"/>
          <w:sz w:val="18"/>
          <w:szCs w:val="18"/>
          <w:lang w:eastAsia="tr-TR"/>
        </w:rPr>
        <w:t xml:space="preserve"> Elizabeth Hastanesi USH Vakfı (QEH) ve </w:t>
      </w:r>
      <w:proofErr w:type="spellStart"/>
      <w:r w:rsidRPr="005A0B3B">
        <w:rPr>
          <w:rFonts w:ascii="Calibri" w:eastAsia="Times New Roman" w:hAnsi="Calibri" w:cs="Times New Roman"/>
          <w:sz w:val="18"/>
          <w:szCs w:val="18"/>
          <w:lang w:eastAsia="tr-TR"/>
        </w:rPr>
        <w:t>Bromley</w:t>
      </w:r>
      <w:proofErr w:type="spellEnd"/>
      <w:r w:rsidRPr="005A0B3B">
        <w:rPr>
          <w:rFonts w:ascii="Calibri" w:eastAsia="Times New Roman" w:hAnsi="Calibri" w:cs="Times New Roman"/>
          <w:sz w:val="18"/>
          <w:szCs w:val="18"/>
          <w:lang w:eastAsia="tr-TR"/>
        </w:rPr>
        <w:t xml:space="preserve"> Hastaneleri USH Vakfı. (2) Bugün GLSHV büyük ölçüde üç ana mekândan hizmet vermektedir: </w:t>
      </w:r>
      <w:proofErr w:type="spellStart"/>
      <w:r w:rsidRPr="005A0B3B">
        <w:rPr>
          <w:rFonts w:ascii="Calibri" w:eastAsia="Times New Roman" w:hAnsi="Calibri" w:cs="Times New Roman"/>
          <w:sz w:val="18"/>
          <w:szCs w:val="18"/>
          <w:lang w:eastAsia="tr-TR"/>
        </w:rPr>
        <w:t>Orpington</w:t>
      </w:r>
      <w:proofErr w:type="spellEnd"/>
      <w:r w:rsidRPr="005A0B3B">
        <w:rPr>
          <w:rFonts w:ascii="Calibri" w:eastAsia="Times New Roman" w:hAnsi="Calibri" w:cs="Times New Roman"/>
          <w:sz w:val="18"/>
          <w:szCs w:val="18"/>
          <w:lang w:eastAsia="tr-TR"/>
        </w:rPr>
        <w:t xml:space="preserve"> yakınlarındaki </w:t>
      </w:r>
      <w:proofErr w:type="spellStart"/>
      <w:r w:rsidRPr="005A0B3B">
        <w:rPr>
          <w:rFonts w:ascii="Calibri" w:eastAsia="Times New Roman" w:hAnsi="Calibri" w:cs="Times New Roman"/>
          <w:sz w:val="18"/>
          <w:szCs w:val="18"/>
          <w:lang w:eastAsia="tr-TR"/>
        </w:rPr>
        <w:t>Farnborough’ta</w:t>
      </w:r>
      <w:proofErr w:type="spellEnd"/>
      <w:r w:rsidRPr="005A0B3B">
        <w:rPr>
          <w:rFonts w:ascii="Calibri" w:eastAsia="Times New Roman" w:hAnsi="Calibri" w:cs="Times New Roman"/>
          <w:sz w:val="18"/>
          <w:szCs w:val="18"/>
          <w:lang w:eastAsia="tr-TR"/>
        </w:rPr>
        <w:t xml:space="preserve"> bulunan </w:t>
      </w:r>
      <w:proofErr w:type="spellStart"/>
      <w:r w:rsidRPr="005A0B3B">
        <w:rPr>
          <w:rFonts w:ascii="Calibri" w:eastAsia="Times New Roman" w:hAnsi="Calibri" w:cs="Times New Roman"/>
          <w:sz w:val="18"/>
          <w:szCs w:val="18"/>
          <w:lang w:eastAsia="tr-TR"/>
        </w:rPr>
        <w:t>Princess</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Royal</w:t>
      </w:r>
      <w:proofErr w:type="spellEnd"/>
      <w:r w:rsidRPr="005A0B3B">
        <w:rPr>
          <w:rFonts w:ascii="Calibri" w:eastAsia="Times New Roman" w:hAnsi="Calibri" w:cs="Times New Roman"/>
          <w:sz w:val="18"/>
          <w:szCs w:val="18"/>
          <w:lang w:eastAsia="tr-TR"/>
        </w:rPr>
        <w:t xml:space="preserve"> Üniversite Hastanesi (PRUH); </w:t>
      </w:r>
      <w:proofErr w:type="spellStart"/>
      <w:r w:rsidRPr="005A0B3B">
        <w:rPr>
          <w:rFonts w:ascii="Calibri" w:eastAsia="Times New Roman" w:hAnsi="Calibri" w:cs="Times New Roman"/>
          <w:sz w:val="18"/>
          <w:szCs w:val="18"/>
          <w:lang w:eastAsia="tr-TR"/>
        </w:rPr>
        <w:t>Woolwhich’teki</w:t>
      </w:r>
      <w:proofErr w:type="spellEnd"/>
      <w:r w:rsidRPr="005A0B3B">
        <w:rPr>
          <w:rFonts w:ascii="Calibri" w:eastAsia="Times New Roman" w:hAnsi="Calibri" w:cs="Times New Roman"/>
          <w:sz w:val="18"/>
          <w:szCs w:val="18"/>
          <w:lang w:eastAsia="tr-TR"/>
        </w:rPr>
        <w:t xml:space="preserve"> QEH ve </w:t>
      </w:r>
      <w:proofErr w:type="spellStart"/>
      <w:r w:rsidRPr="005A0B3B">
        <w:rPr>
          <w:rFonts w:ascii="Calibri" w:eastAsia="Times New Roman" w:hAnsi="Calibri" w:cs="Times New Roman"/>
          <w:sz w:val="18"/>
          <w:szCs w:val="18"/>
          <w:lang w:eastAsia="tr-TR"/>
        </w:rPr>
        <w:t>Sidcup’taki</w:t>
      </w:r>
      <w:proofErr w:type="spellEnd"/>
      <w:r w:rsidRPr="005A0B3B">
        <w:rPr>
          <w:rFonts w:ascii="Calibri" w:eastAsia="Times New Roman" w:hAnsi="Calibri" w:cs="Times New Roman"/>
          <w:sz w:val="18"/>
          <w:szCs w:val="18"/>
          <w:lang w:eastAsia="tr-TR"/>
        </w:rPr>
        <w:t xml:space="preserve"> QMS.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VÖİ tavsiyeleri önemli hastane ve hizmet iptallerini gerektirmektedir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i) VÖİ Yatak İptalleri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VÖİ önerilen yatak iptallerinin ölçeğini yanlış yansıtmıştır. VÖİ taslak raporunun (Kasım 2012) K ekinde yayınlanan yatak planlaması Güneydoğu Londra Akut USH Vakıflarında 2017-2018 dönemine kadar 131’i </w:t>
      </w:r>
      <w:proofErr w:type="spellStart"/>
      <w:r w:rsidRPr="005A0B3B">
        <w:rPr>
          <w:rFonts w:ascii="Calibri" w:eastAsia="Times New Roman" w:hAnsi="Calibri" w:cs="Times New Roman"/>
          <w:sz w:val="18"/>
          <w:szCs w:val="18"/>
          <w:lang w:eastAsia="tr-TR"/>
        </w:rPr>
        <w:t>operasyonel</w:t>
      </w:r>
      <w:proofErr w:type="spellEnd"/>
      <w:r w:rsidRPr="005A0B3B">
        <w:rPr>
          <w:rFonts w:ascii="Calibri" w:eastAsia="Times New Roman" w:hAnsi="Calibri" w:cs="Times New Roman"/>
          <w:sz w:val="18"/>
          <w:szCs w:val="18"/>
          <w:lang w:eastAsia="tr-TR"/>
        </w:rPr>
        <w:t xml:space="preserve"> olmak üzere toplam 579 hastane yatağının (</w:t>
      </w:r>
      <w:proofErr w:type="spellStart"/>
      <w:r w:rsidRPr="005A0B3B">
        <w:rPr>
          <w:rFonts w:ascii="Calibri" w:eastAsia="Times New Roman" w:hAnsi="Calibri" w:cs="Times New Roman"/>
          <w:sz w:val="18"/>
          <w:szCs w:val="18"/>
          <w:lang w:eastAsia="tr-TR"/>
        </w:rPr>
        <w:t>operasyonel</w:t>
      </w:r>
      <w:proofErr w:type="spellEnd"/>
      <w:r w:rsidRPr="005A0B3B">
        <w:rPr>
          <w:rFonts w:ascii="Calibri" w:eastAsia="Times New Roman" w:hAnsi="Calibri" w:cs="Times New Roman"/>
          <w:sz w:val="18"/>
          <w:szCs w:val="18"/>
          <w:lang w:eastAsia="tr-TR"/>
        </w:rPr>
        <w:t xml:space="preserve"> ve ihtiyat) iptalini öngörmektedir (15) (Ek K-</w:t>
      </w:r>
      <w:r w:rsidRPr="005A0B3B">
        <w:rPr>
          <w:rFonts w:ascii="Calibri" w:eastAsia="Times New Roman" w:hAnsi="Calibri" w:cs="Times New Roman"/>
          <w:i/>
          <w:sz w:val="18"/>
          <w:szCs w:val="18"/>
          <w:lang w:eastAsia="tr-TR"/>
        </w:rPr>
        <w:t>sayfa</w:t>
      </w:r>
      <w:r w:rsidRPr="005A0B3B">
        <w:rPr>
          <w:rFonts w:ascii="Calibri" w:eastAsia="Times New Roman" w:hAnsi="Calibri" w:cs="Times New Roman"/>
          <w:sz w:val="18"/>
          <w:szCs w:val="18"/>
          <w:lang w:eastAsia="tr-TR"/>
        </w:rPr>
        <w:t xml:space="preserve"> 54). Gelgelelim öngörülen bu yatak iptalleri </w:t>
      </w:r>
      <w:proofErr w:type="spellStart"/>
      <w:r w:rsidRPr="005A0B3B">
        <w:rPr>
          <w:rFonts w:ascii="Calibri" w:eastAsia="Times New Roman" w:hAnsi="Calibri" w:cs="Times New Roman"/>
          <w:sz w:val="18"/>
          <w:szCs w:val="18"/>
          <w:lang w:eastAsia="tr-TR"/>
        </w:rPr>
        <w:t>VÖİ’nin</w:t>
      </w:r>
      <w:proofErr w:type="spellEnd"/>
      <w:r w:rsidRPr="005A0B3B">
        <w:rPr>
          <w:rFonts w:ascii="Calibri" w:eastAsia="Times New Roman" w:hAnsi="Calibri" w:cs="Times New Roman"/>
          <w:sz w:val="18"/>
          <w:szCs w:val="18"/>
          <w:lang w:eastAsia="tr-TR"/>
        </w:rPr>
        <w:t xml:space="preserve"> nihai raporunda (Ocak 2013) açıklanmamaktadır. VÖİ bunun yerine 2015-16 dönemine kadar </w:t>
      </w:r>
      <w:proofErr w:type="spellStart"/>
      <w:r w:rsidRPr="005A0B3B">
        <w:rPr>
          <w:rFonts w:ascii="Calibri" w:eastAsia="Times New Roman" w:hAnsi="Calibri" w:cs="Times New Roman"/>
          <w:sz w:val="18"/>
          <w:szCs w:val="18"/>
          <w:lang w:eastAsia="tr-TR"/>
        </w:rPr>
        <w:t>GLSHV’de</w:t>
      </w:r>
      <w:proofErr w:type="spellEnd"/>
      <w:r w:rsidRPr="005A0B3B">
        <w:rPr>
          <w:rFonts w:ascii="Calibri" w:eastAsia="Times New Roman" w:hAnsi="Calibri" w:cs="Times New Roman"/>
          <w:sz w:val="18"/>
          <w:szCs w:val="18"/>
          <w:lang w:eastAsia="tr-TR"/>
        </w:rPr>
        <w:t xml:space="preserve"> 90-100 akut yatağın iptaline atıfta bulunmaktadır (2) (</w:t>
      </w:r>
      <w:r w:rsidRPr="005A0B3B">
        <w:rPr>
          <w:rFonts w:ascii="Calibri" w:eastAsia="Times New Roman" w:hAnsi="Calibri" w:cs="Times New Roman"/>
          <w:i/>
          <w:sz w:val="18"/>
          <w:szCs w:val="18"/>
          <w:lang w:eastAsia="tr-TR"/>
        </w:rPr>
        <w:t>sayfa</w:t>
      </w:r>
      <w:r w:rsidRPr="005A0B3B">
        <w:rPr>
          <w:rFonts w:ascii="Calibri" w:eastAsia="Times New Roman" w:hAnsi="Calibri" w:cs="Times New Roman"/>
          <w:sz w:val="18"/>
          <w:szCs w:val="18"/>
          <w:lang w:eastAsia="tr-TR"/>
        </w:rPr>
        <w:t xml:space="preserve"> 49). Gerçekte, hastane mekânlarının satışı ve başka türlü tasarrufu sonucunda toplam 579 mevcut yatak iptal edilmiş olacaktır.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VÖİ yatak modellemesi, önerilerini destekleyecek ihtiyaçlar ya da etkinlikler konusunda herhangi bir kanıt sunmamıştır. Yatak tanımlamaları ulusal verilere uymamaktadır.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Tablo 5 (VÖİ taslak raporunda Ek </w:t>
      </w:r>
      <w:proofErr w:type="spellStart"/>
      <w:r w:rsidRPr="005A0B3B">
        <w:rPr>
          <w:rFonts w:ascii="Calibri" w:eastAsia="Times New Roman" w:hAnsi="Calibri" w:cs="Times New Roman"/>
          <w:sz w:val="18"/>
          <w:szCs w:val="18"/>
          <w:lang w:eastAsia="tr-TR"/>
        </w:rPr>
        <w:t>K’da</w:t>
      </w:r>
      <w:proofErr w:type="spellEnd"/>
      <w:r w:rsidRPr="005A0B3B">
        <w:rPr>
          <w:rFonts w:ascii="Calibri" w:eastAsia="Times New Roman" w:hAnsi="Calibri" w:cs="Times New Roman"/>
          <w:sz w:val="18"/>
          <w:szCs w:val="18"/>
          <w:lang w:eastAsia="tr-TR"/>
        </w:rPr>
        <w:t xml:space="preserve"> yayınlanan verileri temel almaktadır), VÖİ planlarına göre, GDL Akut USH Vakıflarının 2017-18 dönemine kadar </w:t>
      </w:r>
      <w:proofErr w:type="spellStart"/>
      <w:r w:rsidRPr="005A0B3B">
        <w:rPr>
          <w:rFonts w:ascii="Calibri" w:eastAsia="Times New Roman" w:hAnsi="Calibri" w:cs="Times New Roman"/>
          <w:sz w:val="18"/>
          <w:szCs w:val="18"/>
          <w:lang w:eastAsia="tr-TR"/>
        </w:rPr>
        <w:t>operasyonel</w:t>
      </w:r>
      <w:proofErr w:type="spellEnd"/>
      <w:r w:rsidRPr="005A0B3B">
        <w:rPr>
          <w:rFonts w:ascii="Calibri" w:eastAsia="Times New Roman" w:hAnsi="Calibri" w:cs="Times New Roman"/>
          <w:sz w:val="18"/>
          <w:szCs w:val="18"/>
          <w:lang w:eastAsia="tr-TR"/>
        </w:rPr>
        <w:t xml:space="preserve"> hastane yataklarının %3,6’sını, toplam yatak kapasitesinin ise % 14,3’ünü kaybedeceğini göstermektedir. Lewisham’daki yatakların neredeyse yarısı (%41), </w:t>
      </w:r>
      <w:proofErr w:type="spellStart"/>
      <w:r w:rsidRPr="005A0B3B">
        <w:rPr>
          <w:rFonts w:ascii="Calibri" w:eastAsia="Times New Roman" w:hAnsi="Calibri" w:cs="Times New Roman"/>
          <w:sz w:val="18"/>
          <w:szCs w:val="18"/>
          <w:lang w:eastAsia="tr-TR"/>
        </w:rPr>
        <w:t>Guy’sdakilerin</w:t>
      </w:r>
      <w:proofErr w:type="spellEnd"/>
      <w:r w:rsidRPr="005A0B3B">
        <w:rPr>
          <w:rFonts w:ascii="Calibri" w:eastAsia="Times New Roman" w:hAnsi="Calibri" w:cs="Times New Roman"/>
          <w:sz w:val="18"/>
          <w:szCs w:val="18"/>
          <w:lang w:eastAsia="tr-TR"/>
        </w:rPr>
        <w:t xml:space="preserve"> de dörtte birinden fazlası (%27,7) 2017-18’e kadar iptal edilecektir.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t>Tablo 5:</w:t>
      </w:r>
      <w:r w:rsidRPr="005A0B3B">
        <w:rPr>
          <w:rFonts w:ascii="Calibri" w:eastAsia="Times New Roman" w:hAnsi="Calibri" w:cs="Times New Roman"/>
          <w:sz w:val="18"/>
          <w:szCs w:val="18"/>
          <w:lang w:eastAsia="tr-TR"/>
        </w:rPr>
        <w:t xml:space="preserve"> Güneydoğu Londra Akut USH Vakıflarındaki Hastane Yatakları (VÖİ taslak raporunda yer alan veriler – Ek 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0"/>
        <w:gridCol w:w="1088"/>
        <w:gridCol w:w="1090"/>
        <w:gridCol w:w="1141"/>
        <w:gridCol w:w="1090"/>
        <w:gridCol w:w="1141"/>
        <w:gridCol w:w="1130"/>
        <w:gridCol w:w="1096"/>
      </w:tblGrid>
      <w:tr w:rsidR="007225B4" w:rsidRPr="005A0B3B" w:rsidTr="007225B4">
        <w:tc>
          <w:tcPr>
            <w:tcW w:w="1526" w:type="dxa"/>
          </w:tcPr>
          <w:p w:rsidR="007225B4" w:rsidRPr="005A0B3B" w:rsidRDefault="007225B4" w:rsidP="007225B4">
            <w:pPr>
              <w:jc w:val="both"/>
              <w:rPr>
                <w:rFonts w:ascii="Calibri" w:eastAsia="Times New Roman" w:hAnsi="Calibri" w:cs="Times New Roman"/>
                <w:sz w:val="18"/>
                <w:szCs w:val="18"/>
                <w:lang w:eastAsia="tr-TR"/>
              </w:rPr>
            </w:pPr>
          </w:p>
        </w:tc>
        <w:tc>
          <w:tcPr>
            <w:tcW w:w="3291" w:type="dxa"/>
            <w:gridSpan w:val="3"/>
          </w:tcPr>
          <w:p w:rsidR="007225B4" w:rsidRPr="005A0B3B" w:rsidRDefault="007225B4" w:rsidP="007225B4">
            <w:pPr>
              <w:jc w:val="center"/>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Hâlihazırdaki yatak kapasitesi, 2012</w:t>
            </w:r>
          </w:p>
        </w:tc>
        <w:tc>
          <w:tcPr>
            <w:tcW w:w="4390" w:type="dxa"/>
            <w:gridSpan w:val="4"/>
          </w:tcPr>
          <w:p w:rsidR="007225B4" w:rsidRPr="005A0B3B" w:rsidRDefault="007225B4" w:rsidP="007225B4">
            <w:pPr>
              <w:jc w:val="center"/>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2017-18 için VÖİ tavsiyeleri</w:t>
            </w:r>
          </w:p>
        </w:tc>
      </w:tr>
      <w:tr w:rsidR="007225B4" w:rsidRPr="005A0B3B" w:rsidTr="007225B4">
        <w:tc>
          <w:tcPr>
            <w:tcW w:w="1526" w:type="dxa"/>
          </w:tcPr>
          <w:p w:rsidR="007225B4" w:rsidRPr="005A0B3B" w:rsidRDefault="007225B4" w:rsidP="007225B4">
            <w:pPr>
              <w:jc w:val="both"/>
              <w:rPr>
                <w:rFonts w:ascii="Calibri" w:eastAsia="Times New Roman" w:hAnsi="Calibri" w:cs="Times New Roman"/>
                <w:sz w:val="18"/>
                <w:szCs w:val="18"/>
                <w:lang w:eastAsia="tr-TR"/>
              </w:rPr>
            </w:pPr>
          </w:p>
        </w:tc>
        <w:tc>
          <w:tcPr>
            <w:tcW w:w="1097" w:type="dxa"/>
          </w:tcPr>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Eldeki toplam</w:t>
            </w:r>
          </w:p>
        </w:tc>
        <w:tc>
          <w:tcPr>
            <w:tcW w:w="1097" w:type="dxa"/>
          </w:tcPr>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Yedekte tutulan</w:t>
            </w:r>
          </w:p>
        </w:tc>
        <w:tc>
          <w:tcPr>
            <w:tcW w:w="1097" w:type="dxa"/>
          </w:tcPr>
          <w:p w:rsidR="007225B4" w:rsidRPr="005A0B3B" w:rsidRDefault="007225B4" w:rsidP="007225B4">
            <w:pPr>
              <w:jc w:val="center"/>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Operasyonel</w:t>
            </w:r>
            <w:proofErr w:type="spellEnd"/>
          </w:p>
        </w:tc>
        <w:tc>
          <w:tcPr>
            <w:tcW w:w="1097" w:type="dxa"/>
          </w:tcPr>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2017-18’de mevcut olması gereken</w:t>
            </w:r>
          </w:p>
        </w:tc>
        <w:tc>
          <w:tcPr>
            <w:tcW w:w="1097" w:type="dxa"/>
          </w:tcPr>
          <w:p w:rsidR="007225B4" w:rsidRPr="005A0B3B" w:rsidRDefault="007225B4" w:rsidP="007225B4">
            <w:pPr>
              <w:jc w:val="center"/>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Operasyonel</w:t>
            </w:r>
            <w:proofErr w:type="spellEnd"/>
            <w:r w:rsidRPr="005A0B3B">
              <w:rPr>
                <w:rFonts w:ascii="Calibri" w:eastAsia="Times New Roman" w:hAnsi="Calibri" w:cs="Times New Roman"/>
                <w:sz w:val="18"/>
                <w:szCs w:val="18"/>
                <w:lang w:eastAsia="tr-TR"/>
              </w:rPr>
              <w:t xml:space="preserve"> (hazır) yatak sayısındaki değişim</w:t>
            </w:r>
          </w:p>
        </w:tc>
        <w:tc>
          <w:tcPr>
            <w:tcW w:w="1098" w:type="dxa"/>
          </w:tcPr>
          <w:p w:rsidR="007225B4" w:rsidRPr="005A0B3B" w:rsidRDefault="007225B4" w:rsidP="007225B4">
            <w:pPr>
              <w:jc w:val="center"/>
              <w:rPr>
                <w:rFonts w:ascii="Calibri" w:eastAsia="Times New Roman" w:hAnsi="Calibri" w:cs="Times New Roman"/>
                <w:i/>
                <w:sz w:val="18"/>
                <w:szCs w:val="18"/>
                <w:lang w:eastAsia="tr-TR"/>
              </w:rPr>
            </w:pPr>
            <w:proofErr w:type="spellStart"/>
            <w:r w:rsidRPr="005A0B3B">
              <w:rPr>
                <w:rFonts w:ascii="Calibri" w:eastAsia="Times New Roman" w:hAnsi="Calibri" w:cs="Times New Roman"/>
                <w:i/>
                <w:sz w:val="18"/>
                <w:szCs w:val="18"/>
                <w:lang w:eastAsia="tr-TR"/>
              </w:rPr>
              <w:t>Operasyonel</w:t>
            </w:r>
            <w:proofErr w:type="spellEnd"/>
            <w:r w:rsidRPr="005A0B3B">
              <w:rPr>
                <w:rFonts w:ascii="Calibri" w:eastAsia="Times New Roman" w:hAnsi="Calibri" w:cs="Times New Roman"/>
                <w:i/>
                <w:sz w:val="18"/>
                <w:szCs w:val="18"/>
                <w:lang w:eastAsia="tr-TR"/>
              </w:rPr>
              <w:t xml:space="preserve"> yatak sayısındaki % değişim</w:t>
            </w:r>
          </w:p>
        </w:tc>
        <w:tc>
          <w:tcPr>
            <w:tcW w:w="1098" w:type="dxa"/>
          </w:tcPr>
          <w:p w:rsidR="007225B4" w:rsidRPr="005A0B3B" w:rsidRDefault="007225B4" w:rsidP="007225B4">
            <w:pPr>
              <w:jc w:val="center"/>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Mevcut yatak sayısındaki % değişim</w:t>
            </w:r>
          </w:p>
        </w:tc>
      </w:tr>
      <w:tr w:rsidR="007225B4" w:rsidRPr="005A0B3B" w:rsidTr="007225B4">
        <w:tc>
          <w:tcPr>
            <w:tcW w:w="1526"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Lewisham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PRUH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QEH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ST Thomas</w:t>
            </w:r>
          </w:p>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Guy's</w:t>
            </w:r>
            <w:proofErr w:type="spellEnd"/>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KCH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QMS</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Toplam</w:t>
            </w:r>
          </w:p>
        </w:tc>
        <w:tc>
          <w:tcPr>
            <w:tcW w:w="1097"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419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 587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532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968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379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928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240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4053 </w:t>
            </w:r>
          </w:p>
        </w:tc>
        <w:tc>
          <w:tcPr>
            <w:tcW w:w="1097"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129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7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1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54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70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0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187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448</w:t>
            </w:r>
          </w:p>
        </w:tc>
        <w:tc>
          <w:tcPr>
            <w:tcW w:w="1097"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290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580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531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914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309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928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53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3605 </w:t>
            </w:r>
          </w:p>
        </w:tc>
        <w:tc>
          <w:tcPr>
            <w:tcW w:w="1097"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246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626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532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849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274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928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19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3474 </w:t>
            </w:r>
          </w:p>
        </w:tc>
        <w:tc>
          <w:tcPr>
            <w:tcW w:w="1097"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-44 (-173)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46 (39)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1 (0)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-65 (-119)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-35 (-105)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0 (0)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-34 (-221)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-131 (-579) </w:t>
            </w:r>
          </w:p>
        </w:tc>
        <w:tc>
          <w:tcPr>
            <w:tcW w:w="1098" w:type="dxa"/>
          </w:tcPr>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 15,2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 7,9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%0,2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 7,1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 11,3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%0,0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 64,2 </w:t>
            </w:r>
          </w:p>
          <w:p w:rsidR="007225B4" w:rsidRPr="005A0B3B" w:rsidRDefault="007225B4" w:rsidP="007225B4">
            <w:pPr>
              <w:jc w:val="both"/>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 xml:space="preserve">-% 3,6 </w:t>
            </w:r>
          </w:p>
        </w:tc>
        <w:tc>
          <w:tcPr>
            <w:tcW w:w="1098" w:type="dxa"/>
          </w:tcPr>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41,3</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%6,6</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%0,0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-%12,3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-%27,7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 0,0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-%92,1</w:t>
            </w:r>
          </w:p>
          <w:p w:rsidR="007225B4" w:rsidRPr="005A0B3B" w:rsidRDefault="007225B4" w:rsidP="007225B4">
            <w:pPr>
              <w:jc w:val="both"/>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 xml:space="preserve">-% 14,3 </w:t>
            </w:r>
          </w:p>
        </w:tc>
      </w:tr>
    </w:tbl>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lastRenderedPageBreak/>
        <w:t xml:space="preserve">Kaynak: Vakıf Özel İdaresi. </w:t>
      </w:r>
      <w:proofErr w:type="gramEnd"/>
      <w:r w:rsidRPr="005A0B3B">
        <w:rPr>
          <w:rFonts w:ascii="Calibri" w:eastAsia="Times New Roman" w:hAnsi="Calibri" w:cs="Times New Roman"/>
          <w:sz w:val="18"/>
          <w:szCs w:val="18"/>
          <w:lang w:eastAsia="tr-TR"/>
        </w:rPr>
        <w:t xml:space="preserve">Ek K, Finans, sermaye ve varlıklar eki. Kasım 2012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ii) VÖİ personel </w:t>
      </w:r>
      <w:proofErr w:type="spellStart"/>
      <w:r w:rsidRPr="005A0B3B">
        <w:rPr>
          <w:rFonts w:ascii="Calibri" w:eastAsia="Times New Roman" w:hAnsi="Calibri" w:cs="Times New Roman"/>
          <w:b/>
          <w:sz w:val="18"/>
          <w:szCs w:val="18"/>
          <w:lang w:eastAsia="tr-TR"/>
        </w:rPr>
        <w:t>azal</w:t>
      </w:r>
      <w:r w:rsidR="005A0B3B">
        <w:rPr>
          <w:rFonts w:ascii="Calibri" w:eastAsia="Times New Roman" w:hAnsi="Calibri" w:cs="Times New Roman"/>
          <w:b/>
          <w:sz w:val="18"/>
          <w:szCs w:val="18"/>
          <w:lang w:eastAsia="tr-TR"/>
        </w:rPr>
        <w:t>t</w:t>
      </w:r>
      <w:r w:rsidRPr="005A0B3B">
        <w:rPr>
          <w:rFonts w:ascii="Calibri" w:eastAsia="Times New Roman" w:hAnsi="Calibri" w:cs="Times New Roman"/>
          <w:b/>
          <w:sz w:val="18"/>
          <w:szCs w:val="18"/>
          <w:lang w:eastAsia="tr-TR"/>
        </w:rPr>
        <w:t>ımı</w:t>
      </w:r>
      <w:proofErr w:type="spellEnd"/>
      <w:r w:rsidRPr="005A0B3B">
        <w:rPr>
          <w:rFonts w:ascii="Calibri" w:eastAsia="Times New Roman" w:hAnsi="Calibri" w:cs="Times New Roman"/>
          <w:b/>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VÖİ, GLSHV bütçesinde 2013-14 dönemi için 74,9 milyon £ azatlım öngörmektedir (Vakfın hâlihazırdaki toplam işletme giderlerinde %14,2 azalma). Bu toplam kısıntının %61,8’i tıp personelinden, hemşirelerden, bilimsel ve klinik dışı personelden sağlanacak tasarrufla gerçekleşecektir (tablo 6).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t>Tablo 6:</w:t>
      </w:r>
      <w:r w:rsidRPr="005A0B3B">
        <w:rPr>
          <w:rFonts w:ascii="Calibri" w:eastAsia="Times New Roman" w:hAnsi="Calibri" w:cs="Times New Roman"/>
          <w:sz w:val="18"/>
          <w:szCs w:val="18"/>
          <w:lang w:eastAsia="tr-TR"/>
        </w:rPr>
        <w:t xml:space="preserve"> 2013-16 döneminde gider kategorisi ve mekâna göre Güney Londra Sağlık Hizmetleri Vakfı bütçelerinde önerilen azaltmalar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283"/>
        <w:gridCol w:w="2283"/>
      </w:tblGrid>
      <w:tr w:rsidR="007225B4" w:rsidRPr="005A0B3B" w:rsidTr="007225B4">
        <w:tc>
          <w:tcPr>
            <w:tcW w:w="4644"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Gider kategorisine göre</w:t>
            </w:r>
          </w:p>
        </w:tc>
        <w:tc>
          <w:tcPr>
            <w:tcW w:w="2283" w:type="dxa"/>
          </w:tcPr>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Milyon £</w:t>
            </w:r>
          </w:p>
        </w:tc>
        <w:tc>
          <w:tcPr>
            <w:tcW w:w="2283" w:type="dxa"/>
          </w:tcPr>
          <w:p w:rsidR="007225B4" w:rsidRPr="005A0B3B" w:rsidRDefault="007225B4" w:rsidP="007225B4">
            <w:pPr>
              <w:jc w:val="center"/>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Bugünkü maliyete göre % değişim</w:t>
            </w:r>
          </w:p>
        </w:tc>
      </w:tr>
      <w:tr w:rsidR="007225B4" w:rsidRPr="005A0B3B" w:rsidTr="007225B4">
        <w:tc>
          <w:tcPr>
            <w:tcW w:w="464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Tıbbi personel</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Hemşireler</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Bilim, Teknoloji, Araştırma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Klinik dışı personel</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Malzeme</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Diğer</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Toplam</w:t>
            </w:r>
          </w:p>
        </w:tc>
        <w:tc>
          <w:tcPr>
            <w:tcW w:w="2283"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14,8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16,9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4,5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10,1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14,9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13,7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74,9 </w:t>
            </w:r>
          </w:p>
        </w:tc>
        <w:tc>
          <w:tcPr>
            <w:tcW w:w="2283" w:type="dxa"/>
          </w:tcPr>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-%16,4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 17,2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-%12,2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-2% 20,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-%20,7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 91,3 </w:t>
            </w:r>
          </w:p>
          <w:p w:rsidR="007225B4" w:rsidRPr="005A0B3B" w:rsidRDefault="007225B4" w:rsidP="007225B4">
            <w:pPr>
              <w:jc w:val="both"/>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 xml:space="preserve">-% 14,2 </w:t>
            </w:r>
          </w:p>
        </w:tc>
      </w:tr>
      <w:tr w:rsidR="007225B4" w:rsidRPr="005A0B3B" w:rsidTr="007225B4">
        <w:tc>
          <w:tcPr>
            <w:tcW w:w="4644"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Yere göre</w:t>
            </w:r>
          </w:p>
        </w:tc>
        <w:tc>
          <w:tcPr>
            <w:tcW w:w="2283" w:type="dxa"/>
          </w:tcPr>
          <w:p w:rsidR="007225B4" w:rsidRPr="005A0B3B" w:rsidRDefault="007225B4" w:rsidP="007225B4">
            <w:pPr>
              <w:jc w:val="cente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Milyon £</w:t>
            </w:r>
          </w:p>
        </w:tc>
        <w:tc>
          <w:tcPr>
            <w:tcW w:w="2283" w:type="dxa"/>
          </w:tcPr>
          <w:p w:rsidR="007225B4" w:rsidRPr="005A0B3B" w:rsidRDefault="007225B4" w:rsidP="007225B4">
            <w:pPr>
              <w:jc w:val="center"/>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Bugünkü maliyete göre % değişim</w:t>
            </w:r>
          </w:p>
        </w:tc>
      </w:tr>
      <w:tr w:rsidR="007225B4" w:rsidRPr="005A0B3B" w:rsidTr="007225B4">
        <w:tc>
          <w:tcPr>
            <w:tcW w:w="4644" w:type="dxa"/>
          </w:tcPr>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Queen</w:t>
            </w:r>
            <w:proofErr w:type="spellEnd"/>
            <w:r w:rsidRPr="005A0B3B">
              <w:rPr>
                <w:rFonts w:ascii="Calibri" w:eastAsia="Times New Roman" w:hAnsi="Calibri" w:cs="Times New Roman"/>
                <w:sz w:val="18"/>
                <w:szCs w:val="18"/>
                <w:lang w:eastAsia="tr-TR"/>
              </w:rPr>
              <w:t xml:space="preserve"> Elizabeth Hastanesi</w:t>
            </w:r>
          </w:p>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Princess</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Royal</w:t>
            </w:r>
            <w:proofErr w:type="spellEnd"/>
            <w:r w:rsidRPr="005A0B3B">
              <w:rPr>
                <w:rFonts w:ascii="Calibri" w:eastAsia="Times New Roman" w:hAnsi="Calibri" w:cs="Times New Roman"/>
                <w:sz w:val="18"/>
                <w:szCs w:val="18"/>
                <w:lang w:eastAsia="tr-TR"/>
              </w:rPr>
              <w:t xml:space="preserve"> Üniversite Hastanesi</w:t>
            </w:r>
          </w:p>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Queen</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Mary's</w:t>
            </w:r>
            <w:proofErr w:type="spellEnd"/>
            <w:r w:rsidRPr="005A0B3B">
              <w:rPr>
                <w:rFonts w:ascii="Calibri" w:eastAsia="Times New Roman" w:hAnsi="Calibri" w:cs="Times New Roman"/>
                <w:sz w:val="18"/>
                <w:szCs w:val="18"/>
                <w:lang w:eastAsia="tr-TR"/>
              </w:rPr>
              <w:t xml:space="preserve"> Hastanesi</w:t>
            </w:r>
          </w:p>
        </w:tc>
        <w:tc>
          <w:tcPr>
            <w:tcW w:w="2283"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32,3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30,9 </w:t>
            </w:r>
          </w:p>
          <w:p w:rsidR="007225B4" w:rsidRPr="005A0B3B" w:rsidRDefault="007225B4" w:rsidP="007225B4">
            <w:pPr>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11,7</w:t>
            </w:r>
          </w:p>
        </w:tc>
        <w:tc>
          <w:tcPr>
            <w:tcW w:w="2283" w:type="dxa"/>
          </w:tcPr>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-%15,9 </w:t>
            </w: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 xml:space="preserve">-%15,1 </w:t>
            </w:r>
          </w:p>
          <w:p w:rsidR="007225B4" w:rsidRPr="005A0B3B" w:rsidRDefault="007225B4" w:rsidP="007225B4">
            <w:pPr>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-%14,1</w:t>
            </w:r>
          </w:p>
        </w:tc>
      </w:tr>
    </w:tbl>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Kaynak: Güney Londra USH Vakfı, Vakıf Özel İdaresi Başkanlığı. Sürdürülebilir USH sağlanması: Vakıf Özel İdaresinin Güney Londra USH Vakfı ve güneydoğu Londra’da USH ile ilgili raporu. Cilt 1. Ocak 7, 2013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VÖİ, bu ölçekteki kısıntıların personel sayısı ve kategorileri üzerinde ne gibi etkiler yaratacağını açıklamadığı gibi hizmetlerin ve bakım kalitesinin nasıl güvence altına alınacağını da belirtmemektedir. Oysa Francis’in de işaret ettiği gibi personel düzeyleri kalite açısından anahtar önemdedir.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iii) </w:t>
      </w:r>
      <w:proofErr w:type="spellStart"/>
      <w:r w:rsidRPr="005A0B3B">
        <w:rPr>
          <w:rFonts w:ascii="Calibri" w:eastAsia="Times New Roman" w:hAnsi="Calibri" w:cs="Times New Roman"/>
          <w:b/>
          <w:sz w:val="18"/>
          <w:szCs w:val="18"/>
          <w:lang w:eastAsia="tr-TR"/>
        </w:rPr>
        <w:t>VÖİ’nin</w:t>
      </w:r>
      <w:proofErr w:type="spellEnd"/>
      <w:r w:rsidRPr="005A0B3B">
        <w:rPr>
          <w:rFonts w:ascii="Calibri" w:eastAsia="Times New Roman" w:hAnsi="Calibri" w:cs="Times New Roman"/>
          <w:b/>
          <w:sz w:val="18"/>
          <w:szCs w:val="18"/>
          <w:lang w:eastAsia="tr-TR"/>
        </w:rPr>
        <w:t xml:space="preserve"> hizmet değişimine ilişkin tavsiyeleri planlama temeliyle desteklenmemektedir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VÖİ finansal hedeflerini ya da yataklarda osun personelde olsun yapılacak önemli kısıntıları destekleyecek herhangi bir planlama temeli sunmamaktadır. VÖİ raporları, hastaların ihtiyaçlarının nasıl karşılanacağına ya da hastaların nereye gideceğine ilişkin olarak kanıtlarla destekli ayrıntılı bir plana sahip değildir. Oysa hizmetlere ilişkin önemli yeniden yapılanmalar her zaman stratejik planlar ve ihtiyaç değerlendirmeleriyle birlikte gerçekleştirilir. Aşağıda (tablo 7), USH bağlamında hizmetlerde önemli değişiklikler gündeme geldiğinde daha önceki planlama belgelerinde rutin olarak bulunan türdeki verileri tanımlarken, </w:t>
      </w:r>
      <w:proofErr w:type="spellStart"/>
      <w:r w:rsidRPr="005A0B3B">
        <w:rPr>
          <w:rFonts w:ascii="Calibri" w:eastAsia="Times New Roman" w:hAnsi="Calibri" w:cs="Times New Roman"/>
          <w:sz w:val="18"/>
          <w:szCs w:val="18"/>
          <w:lang w:eastAsia="tr-TR"/>
        </w:rPr>
        <w:t>VÖİ’nin</w:t>
      </w:r>
      <w:proofErr w:type="spellEnd"/>
      <w:r w:rsidRPr="005A0B3B">
        <w:rPr>
          <w:rFonts w:ascii="Calibri" w:eastAsia="Times New Roman" w:hAnsi="Calibri" w:cs="Times New Roman"/>
          <w:sz w:val="18"/>
          <w:szCs w:val="18"/>
          <w:lang w:eastAsia="tr-TR"/>
        </w:rPr>
        <w:t xml:space="preserve"> hizmetlerdeki yeniden yapılanmanın etkilerini gösterecek herhangi bir ihtiyaç değerlendirmesi yapmadığını ortaya koyuyoruz.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lastRenderedPageBreak/>
        <w:t>Tablo 7:</w:t>
      </w:r>
      <w:r w:rsidRPr="005A0B3B">
        <w:rPr>
          <w:rFonts w:ascii="Calibri" w:eastAsia="Times New Roman" w:hAnsi="Calibri" w:cs="Times New Roman"/>
          <w:sz w:val="18"/>
          <w:szCs w:val="18"/>
          <w:lang w:eastAsia="tr-TR"/>
        </w:rPr>
        <w:t xml:space="preserve"> Sağlık sektöründe herhangi bir yeniden yapılanmada bulunması gereken planlama verileri ve bunların VÖİ raporlarında bulunup bulunmadığı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843"/>
        <w:gridCol w:w="3827"/>
        <w:gridCol w:w="1589"/>
      </w:tblGrid>
      <w:tr w:rsidR="007225B4" w:rsidRPr="005A0B3B" w:rsidTr="007225B4">
        <w:tc>
          <w:tcPr>
            <w:tcW w:w="7621" w:type="dxa"/>
            <w:gridSpan w:val="3"/>
          </w:tcPr>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Sağlık sektöründe yeniden yapılanma için gerekli planlama verileri</w:t>
            </w:r>
          </w:p>
        </w:tc>
        <w:tc>
          <w:tcPr>
            <w:tcW w:w="1589" w:type="dxa"/>
          </w:tcPr>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VÖİ raporlarında veri olup olmadığı</w:t>
            </w:r>
          </w:p>
        </w:tc>
      </w:tr>
      <w:tr w:rsidR="007225B4" w:rsidRPr="005A0B3B" w:rsidTr="007225B4">
        <w:tc>
          <w:tcPr>
            <w:tcW w:w="1951"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Demografik göstergeler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(yerel yönetim ve KGG bölgelerine göre) </w:t>
            </w:r>
          </w:p>
        </w:tc>
        <w:tc>
          <w:tcPr>
            <w:tcW w:w="5670" w:type="dxa"/>
            <w:gridSpan w:val="2"/>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Cinsiyete ve 5’er yıllık yaş gruplarına göre nüfus</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Yerel yönetim ve KGG bölgelerine göre doğumlar</w:t>
            </w:r>
          </w:p>
        </w:tc>
        <w:tc>
          <w:tcPr>
            <w:tcW w:w="158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tc>
      </w:tr>
      <w:tr w:rsidR="007225B4" w:rsidRPr="005A0B3B" w:rsidTr="007225B4">
        <w:tc>
          <w:tcPr>
            <w:tcW w:w="1951"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t xml:space="preserve">Epidemiyolojik Göstergeler </w:t>
            </w:r>
            <w:r w:rsidRPr="005A0B3B">
              <w:rPr>
                <w:rFonts w:ascii="Calibri" w:eastAsia="Times New Roman" w:hAnsi="Calibri" w:cs="Times New Roman"/>
                <w:sz w:val="18"/>
                <w:szCs w:val="18"/>
                <w:lang w:eastAsia="tr-TR"/>
              </w:rPr>
              <w:t>(yerel yönetim ve KGG bölgelerine göre)</w:t>
            </w:r>
          </w:p>
        </w:tc>
        <w:tc>
          <w:tcPr>
            <w:tcW w:w="1843" w:type="dxa"/>
          </w:tcPr>
          <w:p w:rsidR="007225B4" w:rsidRPr="005A0B3B" w:rsidRDefault="007225B4" w:rsidP="007225B4">
            <w:pPr>
              <w:rPr>
                <w:rFonts w:ascii="Calibri" w:eastAsia="Times New Roman" w:hAnsi="Calibri" w:cs="Times New Roman"/>
                <w:i/>
                <w:sz w:val="18"/>
                <w:szCs w:val="18"/>
                <w:lang w:eastAsia="tr-TR"/>
              </w:rPr>
            </w:pPr>
            <w:proofErr w:type="spellStart"/>
            <w:r w:rsidRPr="005A0B3B">
              <w:rPr>
                <w:rFonts w:ascii="Calibri" w:eastAsia="Times New Roman" w:hAnsi="Calibri" w:cs="Times New Roman"/>
                <w:i/>
                <w:sz w:val="18"/>
                <w:szCs w:val="18"/>
                <w:lang w:eastAsia="tr-TR"/>
              </w:rPr>
              <w:t>Mortalite</w:t>
            </w:r>
            <w:proofErr w:type="spellEnd"/>
            <w:r w:rsidRPr="005A0B3B">
              <w:rPr>
                <w:rFonts w:ascii="Calibri" w:eastAsia="Times New Roman" w:hAnsi="Calibri" w:cs="Times New Roman"/>
                <w:i/>
                <w:sz w:val="18"/>
                <w:szCs w:val="18"/>
                <w:lang w:eastAsia="tr-TR"/>
              </w:rPr>
              <w:t xml:space="preserve"> göstergeleri</w:t>
            </w:r>
          </w:p>
          <w:p w:rsidR="007225B4" w:rsidRPr="005A0B3B" w:rsidRDefault="007225B4" w:rsidP="007225B4">
            <w:pPr>
              <w:rPr>
                <w:rFonts w:ascii="Calibri" w:eastAsia="Times New Roman" w:hAnsi="Calibri" w:cs="Times New Roman"/>
                <w:i/>
                <w:sz w:val="18"/>
                <w:szCs w:val="18"/>
                <w:lang w:eastAsia="tr-TR"/>
              </w:rPr>
            </w:pPr>
            <w:proofErr w:type="spellStart"/>
            <w:r w:rsidRPr="005A0B3B">
              <w:rPr>
                <w:rFonts w:ascii="Calibri" w:eastAsia="Times New Roman" w:hAnsi="Calibri" w:cs="Times New Roman"/>
                <w:i/>
                <w:sz w:val="18"/>
                <w:szCs w:val="18"/>
                <w:lang w:eastAsia="tr-TR"/>
              </w:rPr>
              <w:t>Morbidite</w:t>
            </w:r>
            <w:proofErr w:type="spellEnd"/>
            <w:r w:rsidRPr="005A0B3B">
              <w:rPr>
                <w:rFonts w:ascii="Calibri" w:eastAsia="Times New Roman" w:hAnsi="Calibri" w:cs="Times New Roman"/>
                <w:i/>
                <w:sz w:val="18"/>
                <w:szCs w:val="18"/>
                <w:lang w:eastAsia="tr-TR"/>
              </w:rPr>
              <w:t xml:space="preserve"> göstergeleri</w:t>
            </w:r>
          </w:p>
        </w:tc>
        <w:tc>
          <w:tcPr>
            <w:tcW w:w="3827"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Yaş gruplarına, cinsiyete ve özel nedenlere göre ölümler</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Hastalık bazında </w:t>
            </w:r>
            <w:proofErr w:type="spellStart"/>
            <w:r w:rsidRPr="005A0B3B">
              <w:rPr>
                <w:rFonts w:ascii="Calibri" w:eastAsia="Times New Roman" w:hAnsi="Calibri" w:cs="Times New Roman"/>
                <w:sz w:val="18"/>
                <w:szCs w:val="18"/>
                <w:lang w:eastAsia="tr-TR"/>
              </w:rPr>
              <w:t>prevelans</w:t>
            </w:r>
            <w:proofErr w:type="spellEnd"/>
            <w:r w:rsidRPr="005A0B3B">
              <w:rPr>
                <w:rFonts w:ascii="Calibri" w:eastAsia="Times New Roman" w:hAnsi="Calibri" w:cs="Times New Roman"/>
                <w:sz w:val="18"/>
                <w:szCs w:val="18"/>
                <w:lang w:eastAsia="tr-TR"/>
              </w:rPr>
              <w:t xml:space="preserve"> ve </w:t>
            </w:r>
            <w:proofErr w:type="spellStart"/>
            <w:r w:rsidRPr="005A0B3B">
              <w:rPr>
                <w:rFonts w:ascii="Calibri" w:eastAsia="Times New Roman" w:hAnsi="Calibri" w:cs="Times New Roman"/>
                <w:sz w:val="18"/>
                <w:szCs w:val="18"/>
                <w:lang w:eastAsia="tr-TR"/>
              </w:rPr>
              <w:t>insidans</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Sosyodemografik</w:t>
            </w:r>
            <w:proofErr w:type="spellEnd"/>
            <w:r w:rsidRPr="005A0B3B">
              <w:rPr>
                <w:rFonts w:ascii="Calibri" w:eastAsia="Times New Roman" w:hAnsi="Calibri" w:cs="Times New Roman"/>
                <w:sz w:val="18"/>
                <w:szCs w:val="18"/>
                <w:lang w:eastAsia="tr-TR"/>
              </w:rPr>
              <w:t xml:space="preserve"> ölçümler </w:t>
            </w:r>
          </w:p>
        </w:tc>
        <w:tc>
          <w:tcPr>
            <w:tcW w:w="158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tc>
      </w:tr>
      <w:tr w:rsidR="007225B4" w:rsidRPr="005A0B3B" w:rsidTr="007225B4">
        <w:tc>
          <w:tcPr>
            <w:tcW w:w="1951"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t>Hizmet Sunumu</w:t>
            </w:r>
            <w:r w:rsidRPr="005A0B3B">
              <w:rPr>
                <w:rFonts w:ascii="Calibri" w:eastAsia="Times New Roman" w:hAnsi="Calibri" w:cs="Times New Roman"/>
                <w:sz w:val="18"/>
                <w:szCs w:val="18"/>
                <w:lang w:eastAsia="tr-TR"/>
              </w:rPr>
              <w:t xml:space="preserve"> (hâlihazırdaki ve öngörülen)</w:t>
            </w:r>
          </w:p>
        </w:tc>
        <w:tc>
          <w:tcPr>
            <w:tcW w:w="1843" w:type="dxa"/>
          </w:tcPr>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Hastane ve topluluk hizmetleri</w:t>
            </w:r>
          </w:p>
          <w:p w:rsidR="007225B4" w:rsidRPr="005A0B3B" w:rsidRDefault="007225B4" w:rsidP="007225B4">
            <w:pPr>
              <w:jc w:val="both"/>
              <w:rPr>
                <w:rFonts w:ascii="Calibri" w:eastAsia="Times New Roman" w:hAnsi="Calibri" w:cs="Times New Roman"/>
                <w:i/>
                <w:sz w:val="18"/>
                <w:szCs w:val="18"/>
                <w:lang w:eastAsia="tr-TR"/>
              </w:rPr>
            </w:pPr>
          </w:p>
          <w:p w:rsidR="007225B4" w:rsidRPr="005A0B3B" w:rsidRDefault="007225B4" w:rsidP="007225B4">
            <w:pPr>
              <w:jc w:val="both"/>
              <w:rPr>
                <w:rFonts w:ascii="Calibri" w:eastAsia="Times New Roman" w:hAnsi="Calibri" w:cs="Times New Roman"/>
                <w:i/>
                <w:sz w:val="18"/>
                <w:szCs w:val="18"/>
                <w:lang w:eastAsia="tr-TR"/>
              </w:rPr>
            </w:pPr>
          </w:p>
          <w:p w:rsidR="007225B4" w:rsidRPr="005A0B3B" w:rsidRDefault="007225B4" w:rsidP="007225B4">
            <w:pPr>
              <w:jc w:val="both"/>
              <w:rPr>
                <w:rFonts w:ascii="Calibri" w:eastAsia="Times New Roman" w:hAnsi="Calibri" w:cs="Times New Roman"/>
                <w:i/>
                <w:sz w:val="18"/>
                <w:szCs w:val="18"/>
                <w:lang w:eastAsia="tr-TR"/>
              </w:rPr>
            </w:pPr>
          </w:p>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t>100.000 nüfus başına personel sayısı</w:t>
            </w:r>
          </w:p>
        </w:tc>
        <w:tc>
          <w:tcPr>
            <w:tcW w:w="3827"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Uzmanlık alanı ve 100.000 nüfus başına akut yatak sayısı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Kategorilere göre tıbbi donanım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Bakımevleri/Yurtlar (100.000 nüfus başına yatak sayısı)</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Gündüz bakım merkezleri</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Pratisyen hekimler</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Kategoriye göre toplum hemşireleri</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Toplum psikiyatri hemşireleri</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Mesleki </w:t>
            </w:r>
            <w:proofErr w:type="gramStart"/>
            <w:r w:rsidRPr="005A0B3B">
              <w:rPr>
                <w:rFonts w:ascii="Calibri" w:eastAsia="Times New Roman" w:hAnsi="Calibri" w:cs="Times New Roman"/>
                <w:sz w:val="18"/>
                <w:szCs w:val="18"/>
                <w:lang w:eastAsia="tr-TR"/>
              </w:rPr>
              <w:t>terapistler</w:t>
            </w:r>
            <w:proofErr w:type="gramEnd"/>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Fizyoterapistler</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100.000 nüfus başına hastane personeli</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Uzmanlık ve eğitim alanına göre hastane tıp personeli</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Uzmanlık ve eğitim alanına göre hastane hemşireleri</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Uzmanlık alanına göre bilimsel ve </w:t>
            </w:r>
            <w:proofErr w:type="spellStart"/>
            <w:r w:rsidRPr="005A0B3B">
              <w:rPr>
                <w:rFonts w:ascii="Calibri" w:eastAsia="Times New Roman" w:hAnsi="Calibri" w:cs="Times New Roman"/>
                <w:sz w:val="18"/>
                <w:szCs w:val="18"/>
                <w:lang w:eastAsia="tr-TR"/>
              </w:rPr>
              <w:t>terapötik</w:t>
            </w:r>
            <w:proofErr w:type="spellEnd"/>
            <w:r w:rsidRPr="005A0B3B">
              <w:rPr>
                <w:rFonts w:ascii="Calibri" w:eastAsia="Times New Roman" w:hAnsi="Calibri" w:cs="Times New Roman"/>
                <w:sz w:val="18"/>
                <w:szCs w:val="18"/>
                <w:lang w:eastAsia="tr-TR"/>
              </w:rPr>
              <w:t xml:space="preserve"> personel</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Uzmanlık alanına göre teknik ve idari hastane personeli</w:t>
            </w:r>
          </w:p>
        </w:tc>
        <w:tc>
          <w:tcPr>
            <w:tcW w:w="158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tc>
      </w:tr>
      <w:tr w:rsidR="007225B4" w:rsidRPr="005A0B3B" w:rsidTr="007225B4">
        <w:tc>
          <w:tcPr>
            <w:tcW w:w="1951"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Hizmetlerden yararlanma durumu (hâlihazırdaki ve </w:t>
            </w:r>
            <w:r w:rsidRPr="005A0B3B">
              <w:rPr>
                <w:rFonts w:ascii="Calibri" w:eastAsia="Times New Roman" w:hAnsi="Calibri" w:cs="Times New Roman"/>
                <w:b/>
                <w:sz w:val="18"/>
                <w:szCs w:val="18"/>
                <w:lang w:eastAsia="tr-TR"/>
              </w:rPr>
              <w:lastRenderedPageBreak/>
              <w:t xml:space="preserve">öngörülen hasta akışları) </w:t>
            </w:r>
          </w:p>
        </w:tc>
        <w:tc>
          <w:tcPr>
            <w:tcW w:w="1843" w:type="dxa"/>
          </w:tcPr>
          <w:p w:rsidR="007225B4" w:rsidRPr="005A0B3B" w:rsidRDefault="007225B4" w:rsidP="007225B4">
            <w:pPr>
              <w:jc w:val="both"/>
              <w:rPr>
                <w:rFonts w:ascii="Calibri" w:eastAsia="Times New Roman" w:hAnsi="Calibri" w:cs="Times New Roman"/>
                <w:i/>
                <w:sz w:val="18"/>
                <w:szCs w:val="18"/>
                <w:lang w:eastAsia="tr-TR"/>
              </w:rPr>
            </w:pPr>
            <w:r w:rsidRPr="005A0B3B">
              <w:rPr>
                <w:rFonts w:ascii="Calibri" w:eastAsia="Times New Roman" w:hAnsi="Calibri" w:cs="Times New Roman"/>
                <w:i/>
                <w:sz w:val="18"/>
                <w:szCs w:val="18"/>
                <w:lang w:eastAsia="tr-TR"/>
              </w:rPr>
              <w:lastRenderedPageBreak/>
              <w:t>Hastane Hizmetleri</w:t>
            </w:r>
          </w:p>
        </w:tc>
        <w:tc>
          <w:tcPr>
            <w:tcW w:w="3827"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100.000 nüfus başına kaza ve acil durum bakımı</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Uzmanlık alanına göre randevulu kabuller</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Uzmanlık alanına göre randevusuz kabuller</w:t>
            </w:r>
          </w:p>
        </w:tc>
        <w:tc>
          <w:tcPr>
            <w:tcW w:w="1589"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Yok</w:t>
            </w:r>
          </w:p>
        </w:tc>
      </w:tr>
    </w:tbl>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Tablo 7’nin gösterdiği gibi, demografik ihtiyaçlar, hasta akışları ya da topluluk hizmetleri ile ilgili herhangi bir analiz ya da modelleme yoktur. Hizmetlerin toplumda yeniden yönlendirilmesiyle ilgili ayrıntılı bir değerlendirme de bulunmamaktadır.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kaynaklı diğer benzer iptal ve kapatmalardan edinilen deneyim, söz verilen topluluk hizmetlerinin gerçekleşmediğini göstermektedir.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Dahası, hizmet sonlandırma ve personel azaltma işlemlerinin hizmet kalitesi ve hizmetlere erişim üzerindeki olası etkileriyle ilgili bir modelleme de yapılmamıştır.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VÖİ, topluluklar düzeyinde hizmet sunumunun halkın sağlık alanındaki ihtiyaçlarını karşılayacağını ve hastane kabullerini önleyeceğini herhangi bir kanıt göstermeksizin ileri sürmektedir. Ne var ki topluluk stratejisinin (Nihai Rapor Ek O) planlama ve ihtiyaç değerlendirme verileri yetersizdir.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iv) VÖİ verimliliği planlamayla kaynaştırmaktadır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VÖİ, nüfusun hâlihazırdaki ve gelecekteki sağlık hizmeti ihtiyaçlarını, sunucu performansı, kalite ve kamuoyu sorularına, erişim kavramını da yolculuk sürelerine (tablo 8) ve hasta deneyimine indirgemektedir. Bu yaklaşım, kapsamlı sağlık hizmetleri sağlama ya da bunu güvence altına alma göreviyle tutarlılık taşımamaktadır.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t>Tablo 8:</w:t>
      </w:r>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GLSHV’nin</w:t>
      </w:r>
      <w:proofErr w:type="spellEnd"/>
      <w:r w:rsidRPr="005A0B3B">
        <w:rPr>
          <w:rFonts w:ascii="Calibri" w:eastAsia="Times New Roman" w:hAnsi="Calibri" w:cs="Times New Roman"/>
          <w:sz w:val="18"/>
          <w:szCs w:val="18"/>
          <w:lang w:eastAsia="tr-TR"/>
        </w:rPr>
        <w:t xml:space="preserve"> değerlendirilmesinde kullanılan performans göstergeleri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2865"/>
      </w:tblGrid>
      <w:tr w:rsidR="007225B4" w:rsidRPr="005A0B3B" w:rsidTr="007225B4">
        <w:tc>
          <w:tcPr>
            <w:tcW w:w="6345" w:type="dxa"/>
          </w:tcPr>
          <w:p w:rsidR="007225B4" w:rsidRPr="005A0B3B" w:rsidRDefault="007225B4" w:rsidP="007225B4">
            <w:pPr>
              <w:jc w:val="both"/>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VÖİ raporunda kullanılan göstergeler</w:t>
            </w:r>
          </w:p>
        </w:tc>
        <w:tc>
          <w:tcPr>
            <w:tcW w:w="2865" w:type="dxa"/>
          </w:tcPr>
          <w:p w:rsidR="007225B4" w:rsidRPr="005A0B3B" w:rsidRDefault="007225B4" w:rsidP="007225B4">
            <w:pPr>
              <w:jc w:val="both"/>
              <w:rPr>
                <w:rFonts w:ascii="Calibri" w:eastAsia="Times New Roman" w:hAnsi="Calibri" w:cs="Times New Roman"/>
                <w:b/>
                <w:i/>
                <w:sz w:val="18"/>
                <w:szCs w:val="18"/>
                <w:lang w:eastAsia="tr-TR"/>
              </w:rPr>
            </w:pPr>
            <w:r w:rsidRPr="005A0B3B">
              <w:rPr>
                <w:rFonts w:ascii="Calibri" w:eastAsia="Times New Roman" w:hAnsi="Calibri" w:cs="Times New Roman"/>
                <w:b/>
                <w:i/>
                <w:sz w:val="18"/>
                <w:szCs w:val="18"/>
                <w:lang w:eastAsia="tr-TR"/>
              </w:rPr>
              <w:t>Kullanılan veri kaynakları</w:t>
            </w:r>
          </w:p>
        </w:tc>
      </w:tr>
      <w:tr w:rsidR="007225B4" w:rsidRPr="005A0B3B" w:rsidTr="007225B4">
        <w:tc>
          <w:tcPr>
            <w:tcW w:w="6345"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2010-11 ve 2011-12 Hizmet Kalite Komisyonu (CQC) değerlendirmesi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Genel Ortalama Kalış Süresi</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HRG Ortalama Kalış Süresi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Tedaviye Sevk Süresi (RTT) ve Kaza/Acil Durumlarda Bekleme Süresi</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Kaza/Acil Durum Bekleme Süresi</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Akran grup ortalamasıyla karşılaştırmalı olarak yeniden kabul oranı</w:t>
            </w:r>
          </w:p>
          <w:p w:rsidR="007225B4" w:rsidRPr="005A0B3B" w:rsidRDefault="007225B4" w:rsidP="007225B4">
            <w:pPr>
              <w:jc w:val="both"/>
              <w:rPr>
                <w:rFonts w:ascii="Calibri" w:eastAsia="Times New Roman" w:hAnsi="Calibri" w:cs="Arial"/>
                <w:color w:val="444444"/>
                <w:sz w:val="18"/>
                <w:szCs w:val="18"/>
                <w:lang w:eastAsia="tr-TR"/>
              </w:rPr>
            </w:pPr>
            <w:proofErr w:type="spellStart"/>
            <w:r w:rsidRPr="005A0B3B">
              <w:rPr>
                <w:rFonts w:ascii="Calibri" w:eastAsia="Times New Roman" w:hAnsi="Calibri" w:cs="Arial"/>
                <w:color w:val="444444"/>
                <w:sz w:val="18"/>
                <w:szCs w:val="18"/>
                <w:lang w:eastAsia="tr-TR"/>
              </w:rPr>
              <w:t>Venöz</w:t>
            </w:r>
            <w:proofErr w:type="spellEnd"/>
            <w:r w:rsidRPr="005A0B3B">
              <w:rPr>
                <w:rFonts w:ascii="Calibri" w:eastAsia="Times New Roman" w:hAnsi="Calibri" w:cs="Arial"/>
                <w:color w:val="444444"/>
                <w:sz w:val="18"/>
                <w:szCs w:val="18"/>
                <w:lang w:eastAsia="tr-TR"/>
              </w:rPr>
              <w:t xml:space="preserve"> </w:t>
            </w:r>
            <w:proofErr w:type="spellStart"/>
            <w:r w:rsidRPr="005A0B3B">
              <w:rPr>
                <w:rFonts w:ascii="Calibri" w:eastAsia="Times New Roman" w:hAnsi="Calibri" w:cs="Arial"/>
                <w:color w:val="444444"/>
                <w:sz w:val="18"/>
                <w:szCs w:val="18"/>
                <w:lang w:eastAsia="tr-TR"/>
              </w:rPr>
              <w:t>tromboembolizm</w:t>
            </w:r>
            <w:proofErr w:type="spellEnd"/>
            <w:r w:rsidRPr="005A0B3B">
              <w:rPr>
                <w:rFonts w:ascii="Calibri" w:eastAsia="Times New Roman" w:hAnsi="Calibri" w:cs="Arial"/>
                <w:color w:val="444444"/>
                <w:sz w:val="18"/>
                <w:szCs w:val="18"/>
                <w:lang w:eastAsia="tr-TR"/>
              </w:rPr>
              <w:t xml:space="preserve"> önlemesi ve tedavisi</w:t>
            </w:r>
          </w:p>
          <w:p w:rsidR="007225B4" w:rsidRPr="005A0B3B" w:rsidRDefault="007225B4" w:rsidP="007225B4">
            <w:pPr>
              <w:jc w:val="both"/>
              <w:rPr>
                <w:rFonts w:ascii="Calibri" w:eastAsia="Times New Roman" w:hAnsi="Calibri" w:cs="Arial"/>
                <w:color w:val="444444"/>
                <w:sz w:val="18"/>
                <w:szCs w:val="18"/>
                <w:lang w:eastAsia="tr-TR"/>
              </w:rPr>
            </w:pPr>
            <w:r w:rsidRPr="005A0B3B">
              <w:rPr>
                <w:rFonts w:ascii="Calibri" w:eastAsia="Times New Roman" w:hAnsi="Calibri" w:cs="Arial"/>
                <w:color w:val="444444"/>
                <w:sz w:val="18"/>
                <w:szCs w:val="18"/>
                <w:lang w:eastAsia="tr-TR"/>
              </w:rPr>
              <w:t>Enfeksiyon önleme</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Kalite Puanı (ulusal ölçekte toplanan 20 klinik göstergeden bileşik ölçü)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Tıbbi personel başına gelir</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Bilimsel personel başına gelir </w:t>
            </w:r>
          </w:p>
        </w:tc>
        <w:tc>
          <w:tcPr>
            <w:tcW w:w="2865"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Referans yok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İçerden (VÖİ, GLSHV) veriler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İçerden (VÖİ, GLSHV) veriler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İçerden (VÖİ, GLSHV) veriler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İçerden (VÖİ, GLSHV) veriler </w:t>
            </w:r>
          </w:p>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Dr</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Foster</w:t>
            </w:r>
            <w:proofErr w:type="spellEnd"/>
            <w:r w:rsidRPr="005A0B3B">
              <w:rPr>
                <w:rFonts w:ascii="Calibri" w:eastAsia="Times New Roman" w:hAnsi="Calibri" w:cs="Times New Roman"/>
                <w:sz w:val="18"/>
                <w:szCs w:val="18"/>
                <w:lang w:eastAsia="tr-TR"/>
              </w:rPr>
              <w:t xml:space="preserve"> sağlık ve tıp kılavuzları</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Referans 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Referans yok</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İçerden (VÖİ, GLSHV) veriler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İçerden (VÖİ, GLSHV) veriler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İçerden (VÖİ, GLSHV) veriler </w:t>
            </w:r>
          </w:p>
        </w:tc>
      </w:tr>
    </w:tbl>
    <w:p w:rsidR="007225B4" w:rsidRPr="005A0B3B" w:rsidRDefault="007225B4"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Deloitte’nin</w:t>
      </w:r>
      <w:proofErr w:type="spellEnd"/>
      <w:r w:rsidRPr="005A0B3B">
        <w:rPr>
          <w:rFonts w:ascii="Calibri" w:eastAsia="Times New Roman" w:hAnsi="Calibri" w:cs="Times New Roman"/>
          <w:sz w:val="18"/>
          <w:szCs w:val="18"/>
          <w:lang w:eastAsia="tr-TR"/>
        </w:rPr>
        <w:t xml:space="preserve"> hizmetlere ilişkin hasta görüşleri üzerinde yapmış olduğu türden kamuoyu yoklamaları, halk sağlığı planlamasının yerini tutamaz.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 xml:space="preserve">Hastane verimlilik ölçüleri de planlamanın yerini alamaz ve bunlar nüfusun erişiminin ya da ihtiyaçlarının ölçüsü olarak kullanılamaz. Bunlar, Vakıfların manevralarına ve yanlılıklarına açık hususlardır. Yolculuk süreleri de kendi başına alındığında ihtiyacın ya da erişimin ölçüsü değildir.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Verimlilik ve etkinlik tahminlerinde VÖİ tarafından kullanılan veriler ve yöntemlere ilişkin ciddi kaygılarımız var. Kullanılan verilerin ve yöntemlerin çoğunun içerde kaldığı, yayınlanmamış olduğu ve kamusal alana çıkmadığı görülmektedir. Bunların altının doldurulması ya da doğrulanması mümkün değildir. Veri tanımlamaları ve yatak, personel, faaliyet ve verimlilik tahminlerinde kullanılan yöntemler, bu sektör için geçerli ulusal tanımlamalarla bağdaşmamaktadır.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 xml:space="preserve">v) Güneydoğu Londra Akut Vakıfları söz konusu olduğunda </w:t>
      </w:r>
      <w:proofErr w:type="spellStart"/>
      <w:r w:rsidRPr="005A0B3B">
        <w:rPr>
          <w:rFonts w:ascii="Calibri" w:eastAsia="Times New Roman" w:hAnsi="Calibri" w:cs="Times New Roman"/>
          <w:b/>
          <w:sz w:val="18"/>
          <w:szCs w:val="18"/>
          <w:lang w:eastAsia="tr-TR"/>
        </w:rPr>
        <w:t>VÖİ’nin</w:t>
      </w:r>
      <w:proofErr w:type="spellEnd"/>
      <w:r w:rsidRPr="005A0B3B">
        <w:rPr>
          <w:rFonts w:ascii="Calibri" w:eastAsia="Times New Roman" w:hAnsi="Calibri" w:cs="Times New Roman"/>
          <w:b/>
          <w:sz w:val="18"/>
          <w:szCs w:val="18"/>
          <w:lang w:eastAsia="tr-TR"/>
        </w:rPr>
        <w:t xml:space="preserve"> hesaba katmadığı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VÖİ tavsiyeleri, daha önceki hizmet yeniden yapılandırmasından kaynaklanan, yatak iptali, artan hastane kabulleri ve uzayan yatak işgalleri gibi durumları dikkate almamıştır. 2005-06 ile 2011-12 arasında GD Londra’daki kuruluşlarda bulunan genel ve akut yatakların %17’si iptal edilmiştir (şekil 1). Buna karşılık aynı dönemde hastanelere genel ve acil durum kabullerinde %21 artış olmuştur  (şekil 2). Sonuçta, yatak işgali kritik düzeylerdedir ve birçok tesiste doluluk oranı %90’ın üzerine çıkmıştır (tablo 9). Bu durum, hastaların bulundukları yerlerden çıkarılmaları ve uygunsuz koğuşlara yerleştirilmeleri gibi hizmet güvenliği ve kalitesini tehlikeye düşüren ciddi sorunlar olduğunu göstermektedir.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t>Şekil 1:</w:t>
      </w:r>
      <w:r w:rsidRPr="005A0B3B">
        <w:rPr>
          <w:rFonts w:ascii="Calibri" w:eastAsia="Times New Roman" w:hAnsi="Calibri" w:cs="Times New Roman"/>
          <w:sz w:val="18"/>
          <w:szCs w:val="18"/>
          <w:lang w:eastAsia="tr-TR"/>
        </w:rPr>
        <w:t xml:space="preserve"> Güneydoğu Londra USH Vakıflarında zaman içinde yatak iptal eğilimleri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t>Şekil 2:</w:t>
      </w:r>
      <w:r w:rsidRPr="005A0B3B">
        <w:rPr>
          <w:rFonts w:ascii="Calibri" w:eastAsia="Times New Roman" w:hAnsi="Calibri" w:cs="Times New Roman"/>
          <w:sz w:val="18"/>
          <w:szCs w:val="18"/>
          <w:lang w:eastAsia="tr-TR"/>
        </w:rPr>
        <w:t xml:space="preserve"> Güneydoğu Londra USH Vakıflarında hasta kabulleri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b/>
          <w:sz w:val="18"/>
          <w:szCs w:val="18"/>
          <w:lang w:eastAsia="tr-TR"/>
        </w:rPr>
        <w:t>Tablo 9:</w:t>
      </w:r>
      <w:r w:rsidRPr="005A0B3B">
        <w:rPr>
          <w:rFonts w:ascii="Calibri" w:eastAsia="Times New Roman" w:hAnsi="Calibri" w:cs="Times New Roman"/>
          <w:sz w:val="18"/>
          <w:szCs w:val="18"/>
          <w:lang w:eastAsia="tr-TR"/>
        </w:rPr>
        <w:t xml:space="preserve"> Genel ve akut yatak işgal oranları, Güneydoğu Londra USH Vakıfları, 1 Nisan 2001’den 31 Mart 2013’e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664"/>
        <w:gridCol w:w="664"/>
        <w:gridCol w:w="664"/>
        <w:gridCol w:w="664"/>
        <w:gridCol w:w="664"/>
        <w:gridCol w:w="664"/>
        <w:gridCol w:w="664"/>
        <w:gridCol w:w="664"/>
        <w:gridCol w:w="664"/>
        <w:gridCol w:w="664"/>
        <w:gridCol w:w="664"/>
        <w:gridCol w:w="664"/>
      </w:tblGrid>
      <w:tr w:rsidR="007225B4" w:rsidRPr="005A0B3B" w:rsidTr="007225B4">
        <w:tc>
          <w:tcPr>
            <w:tcW w:w="1242" w:type="dxa"/>
            <w:vMerge w:val="restart"/>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USH Vakfı</w:t>
            </w:r>
          </w:p>
        </w:tc>
        <w:tc>
          <w:tcPr>
            <w:tcW w:w="7968" w:type="dxa"/>
            <w:gridSpan w:val="12"/>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Mali yıl</w:t>
            </w:r>
          </w:p>
        </w:tc>
      </w:tr>
      <w:tr w:rsidR="007225B4" w:rsidRPr="005A0B3B" w:rsidTr="007225B4">
        <w:tc>
          <w:tcPr>
            <w:tcW w:w="1242" w:type="dxa"/>
            <w:vMerge/>
          </w:tcPr>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2001-02</w:t>
            </w:r>
          </w:p>
        </w:tc>
        <w:tc>
          <w:tcPr>
            <w:tcW w:w="664"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2002-03</w:t>
            </w:r>
          </w:p>
        </w:tc>
        <w:tc>
          <w:tcPr>
            <w:tcW w:w="664"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2003-04</w:t>
            </w:r>
          </w:p>
        </w:tc>
        <w:tc>
          <w:tcPr>
            <w:tcW w:w="664"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2004-05</w:t>
            </w:r>
          </w:p>
        </w:tc>
        <w:tc>
          <w:tcPr>
            <w:tcW w:w="664"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2005-06</w:t>
            </w:r>
          </w:p>
        </w:tc>
        <w:tc>
          <w:tcPr>
            <w:tcW w:w="664"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2006-07</w:t>
            </w:r>
          </w:p>
        </w:tc>
        <w:tc>
          <w:tcPr>
            <w:tcW w:w="664"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2007-08</w:t>
            </w:r>
          </w:p>
        </w:tc>
        <w:tc>
          <w:tcPr>
            <w:tcW w:w="664"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2008-09</w:t>
            </w:r>
          </w:p>
        </w:tc>
        <w:tc>
          <w:tcPr>
            <w:tcW w:w="664"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2009-10</w:t>
            </w:r>
          </w:p>
        </w:tc>
        <w:tc>
          <w:tcPr>
            <w:tcW w:w="664"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2010-11</w:t>
            </w:r>
          </w:p>
        </w:tc>
        <w:tc>
          <w:tcPr>
            <w:tcW w:w="664"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2011-12</w:t>
            </w:r>
          </w:p>
        </w:tc>
        <w:tc>
          <w:tcPr>
            <w:tcW w:w="664" w:type="dxa"/>
          </w:tcPr>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t>2012-13</w:t>
            </w:r>
          </w:p>
        </w:tc>
      </w:tr>
      <w:tr w:rsidR="007225B4" w:rsidRPr="005A0B3B" w:rsidTr="007225B4">
        <w:tc>
          <w:tcPr>
            <w:tcW w:w="1242" w:type="dxa"/>
          </w:tcPr>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Guy's</w:t>
            </w:r>
            <w:proofErr w:type="spellEnd"/>
            <w:r w:rsidRPr="005A0B3B">
              <w:rPr>
                <w:rFonts w:ascii="Calibri" w:eastAsia="Times New Roman" w:hAnsi="Calibri" w:cs="Times New Roman"/>
                <w:sz w:val="18"/>
                <w:szCs w:val="18"/>
                <w:lang w:eastAsia="tr-TR"/>
              </w:rPr>
              <w:t xml:space="preserve"> &amp; </w:t>
            </w:r>
            <w:proofErr w:type="spellStart"/>
            <w:r w:rsidRPr="005A0B3B">
              <w:rPr>
                <w:rFonts w:ascii="Calibri" w:eastAsia="Times New Roman" w:hAnsi="Calibri" w:cs="Times New Roman"/>
                <w:sz w:val="18"/>
                <w:szCs w:val="18"/>
                <w:lang w:eastAsia="tr-TR"/>
              </w:rPr>
              <w:t>St</w:t>
            </w:r>
            <w:proofErr w:type="spellEnd"/>
            <w:r w:rsidRPr="005A0B3B">
              <w:rPr>
                <w:rFonts w:ascii="Calibri" w:eastAsia="Times New Roman" w:hAnsi="Calibri" w:cs="Times New Roman"/>
                <w:sz w:val="18"/>
                <w:szCs w:val="18"/>
                <w:lang w:eastAsia="tr-TR"/>
              </w:rPr>
              <w:t xml:space="preserve"> Thomas Hastanesi</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%80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%80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%79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%78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%79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%77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%77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%80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%81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%81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%80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%83</w:t>
            </w:r>
          </w:p>
        </w:tc>
      </w:tr>
      <w:tr w:rsidR="007225B4" w:rsidRPr="005A0B3B" w:rsidTr="007225B4">
        <w:tc>
          <w:tcPr>
            <w:tcW w:w="1242" w:type="dxa"/>
          </w:tcPr>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King's</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College</w:t>
            </w:r>
            <w:proofErr w:type="spellEnd"/>
            <w:r w:rsidRPr="005A0B3B">
              <w:rPr>
                <w:rFonts w:ascii="Calibri" w:eastAsia="Times New Roman" w:hAnsi="Calibri" w:cs="Times New Roman"/>
                <w:sz w:val="18"/>
                <w:szCs w:val="18"/>
                <w:lang w:eastAsia="tr-TR"/>
              </w:rPr>
              <w:t xml:space="preserve"> Hastanesi</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%90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%91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%91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%87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%89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%90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%92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%92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%84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%90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%91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%94</w:t>
            </w:r>
          </w:p>
        </w:tc>
      </w:tr>
      <w:tr w:rsidR="007225B4" w:rsidRPr="005A0B3B" w:rsidTr="007225B4">
        <w:tc>
          <w:tcPr>
            <w:tcW w:w="1242" w:type="dxa"/>
          </w:tcPr>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Queen</w:t>
            </w:r>
            <w:proofErr w:type="spellEnd"/>
            <w:r w:rsidRPr="005A0B3B">
              <w:rPr>
                <w:rFonts w:ascii="Calibri" w:eastAsia="Times New Roman" w:hAnsi="Calibri" w:cs="Times New Roman"/>
                <w:sz w:val="18"/>
                <w:szCs w:val="18"/>
                <w:lang w:eastAsia="tr-TR"/>
              </w:rPr>
              <w:t xml:space="preserve"> Elizabeth Hastanesi</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%95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%84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%87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%87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%87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%82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%95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98%</w:t>
            </w:r>
          </w:p>
        </w:tc>
        <w:tc>
          <w:tcPr>
            <w:tcW w:w="664" w:type="dxa"/>
          </w:tcPr>
          <w:p w:rsidR="007225B4" w:rsidRPr="005A0B3B" w:rsidRDefault="007225B4" w:rsidP="007225B4">
            <w:pPr>
              <w:jc w:val="both"/>
              <w:rPr>
                <w:rFonts w:ascii="Calibri" w:eastAsia="Times New Roman" w:hAnsi="Calibri" w:cs="Times New Roman"/>
                <w:color w:val="76923C"/>
                <w:sz w:val="18"/>
                <w:szCs w:val="18"/>
                <w:highlight w:val="green"/>
                <w:lang w:eastAsia="tr-TR"/>
              </w:rPr>
            </w:pPr>
          </w:p>
        </w:tc>
        <w:tc>
          <w:tcPr>
            <w:tcW w:w="664" w:type="dxa"/>
          </w:tcPr>
          <w:p w:rsidR="007225B4" w:rsidRPr="005A0B3B" w:rsidRDefault="007225B4" w:rsidP="007225B4">
            <w:pPr>
              <w:jc w:val="both"/>
              <w:rPr>
                <w:rFonts w:ascii="Calibri" w:eastAsia="Times New Roman" w:hAnsi="Calibri" w:cs="Times New Roman"/>
                <w:color w:val="76923C"/>
                <w:sz w:val="18"/>
                <w:szCs w:val="18"/>
                <w:highlight w:val="green"/>
                <w:lang w:eastAsia="tr-TR"/>
              </w:rPr>
            </w:pPr>
          </w:p>
        </w:tc>
        <w:tc>
          <w:tcPr>
            <w:tcW w:w="664" w:type="dxa"/>
          </w:tcPr>
          <w:p w:rsidR="007225B4" w:rsidRPr="005A0B3B" w:rsidRDefault="007225B4" w:rsidP="007225B4">
            <w:pPr>
              <w:jc w:val="both"/>
              <w:rPr>
                <w:rFonts w:ascii="Calibri" w:eastAsia="Times New Roman" w:hAnsi="Calibri" w:cs="Times New Roman"/>
                <w:color w:val="76923C"/>
                <w:sz w:val="18"/>
                <w:szCs w:val="18"/>
                <w:highlight w:val="green"/>
                <w:lang w:eastAsia="tr-TR"/>
              </w:rPr>
            </w:pPr>
          </w:p>
        </w:tc>
        <w:tc>
          <w:tcPr>
            <w:tcW w:w="664" w:type="dxa"/>
          </w:tcPr>
          <w:p w:rsidR="007225B4" w:rsidRPr="005A0B3B" w:rsidRDefault="007225B4" w:rsidP="007225B4">
            <w:pPr>
              <w:jc w:val="both"/>
              <w:rPr>
                <w:rFonts w:ascii="Calibri" w:eastAsia="Times New Roman" w:hAnsi="Calibri" w:cs="Times New Roman"/>
                <w:color w:val="76923C"/>
                <w:sz w:val="18"/>
                <w:szCs w:val="18"/>
                <w:highlight w:val="green"/>
                <w:lang w:eastAsia="tr-TR"/>
              </w:rPr>
            </w:pPr>
          </w:p>
        </w:tc>
      </w:tr>
      <w:tr w:rsidR="007225B4" w:rsidRPr="005A0B3B" w:rsidTr="007225B4">
        <w:tc>
          <w:tcPr>
            <w:tcW w:w="1242" w:type="dxa"/>
          </w:tcPr>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Queen</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Mary's</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Sidcup</w:t>
            </w:r>
            <w:proofErr w:type="spellEnd"/>
            <w:r w:rsidRPr="005A0B3B">
              <w:rPr>
                <w:rFonts w:ascii="Calibri" w:eastAsia="Times New Roman" w:hAnsi="Calibri" w:cs="Times New Roman"/>
                <w:sz w:val="18"/>
                <w:szCs w:val="18"/>
                <w:lang w:eastAsia="tr-TR"/>
              </w:rPr>
              <w:t xml:space="preserve">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%84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%83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%86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%86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%85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%95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96%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%92 </w:t>
            </w:r>
          </w:p>
        </w:tc>
        <w:tc>
          <w:tcPr>
            <w:tcW w:w="664" w:type="dxa"/>
          </w:tcPr>
          <w:p w:rsidR="007225B4" w:rsidRPr="005A0B3B" w:rsidRDefault="007225B4" w:rsidP="007225B4">
            <w:pPr>
              <w:jc w:val="both"/>
              <w:rPr>
                <w:rFonts w:ascii="Calibri" w:eastAsia="Times New Roman" w:hAnsi="Calibri" w:cs="Times New Roman"/>
                <w:color w:val="76923C"/>
                <w:sz w:val="18"/>
                <w:szCs w:val="18"/>
                <w:lang w:eastAsia="tr-TR"/>
              </w:rPr>
            </w:pPr>
          </w:p>
        </w:tc>
        <w:tc>
          <w:tcPr>
            <w:tcW w:w="664" w:type="dxa"/>
          </w:tcPr>
          <w:p w:rsidR="007225B4" w:rsidRPr="005A0B3B" w:rsidRDefault="007225B4" w:rsidP="007225B4">
            <w:pPr>
              <w:jc w:val="both"/>
              <w:rPr>
                <w:rFonts w:ascii="Calibri" w:eastAsia="Times New Roman" w:hAnsi="Calibri" w:cs="Times New Roman"/>
                <w:color w:val="76923C"/>
                <w:sz w:val="18"/>
                <w:szCs w:val="18"/>
                <w:lang w:eastAsia="tr-TR"/>
              </w:rPr>
            </w:pPr>
          </w:p>
        </w:tc>
        <w:tc>
          <w:tcPr>
            <w:tcW w:w="664" w:type="dxa"/>
          </w:tcPr>
          <w:p w:rsidR="007225B4" w:rsidRPr="005A0B3B" w:rsidRDefault="007225B4" w:rsidP="007225B4">
            <w:pPr>
              <w:jc w:val="both"/>
              <w:rPr>
                <w:rFonts w:ascii="Calibri" w:eastAsia="Times New Roman" w:hAnsi="Calibri" w:cs="Times New Roman"/>
                <w:color w:val="76923C"/>
                <w:sz w:val="18"/>
                <w:szCs w:val="18"/>
                <w:lang w:eastAsia="tr-TR"/>
              </w:rPr>
            </w:pPr>
          </w:p>
        </w:tc>
        <w:tc>
          <w:tcPr>
            <w:tcW w:w="664" w:type="dxa"/>
          </w:tcPr>
          <w:p w:rsidR="007225B4" w:rsidRPr="005A0B3B" w:rsidRDefault="007225B4" w:rsidP="007225B4">
            <w:pPr>
              <w:jc w:val="both"/>
              <w:rPr>
                <w:rFonts w:ascii="Calibri" w:eastAsia="Times New Roman" w:hAnsi="Calibri" w:cs="Times New Roman"/>
                <w:color w:val="76923C"/>
                <w:sz w:val="18"/>
                <w:szCs w:val="18"/>
                <w:lang w:eastAsia="tr-TR"/>
              </w:rPr>
            </w:pPr>
          </w:p>
        </w:tc>
      </w:tr>
      <w:tr w:rsidR="007225B4" w:rsidRPr="005A0B3B" w:rsidTr="007225B4">
        <w:tc>
          <w:tcPr>
            <w:tcW w:w="1242" w:type="dxa"/>
          </w:tcPr>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Bromley</w:t>
            </w:r>
            <w:proofErr w:type="spellEnd"/>
            <w:r w:rsidRPr="005A0B3B">
              <w:rPr>
                <w:rFonts w:ascii="Calibri" w:eastAsia="Times New Roman" w:hAnsi="Calibri" w:cs="Times New Roman"/>
                <w:sz w:val="18"/>
                <w:szCs w:val="18"/>
                <w:lang w:eastAsia="tr-TR"/>
              </w:rPr>
              <w:t xml:space="preserve"> Hastaneleri</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%82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%90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%91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%94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%91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%95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%92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%85</w:t>
            </w:r>
          </w:p>
        </w:tc>
        <w:tc>
          <w:tcPr>
            <w:tcW w:w="664" w:type="dxa"/>
          </w:tcPr>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p>
        </w:tc>
      </w:tr>
      <w:tr w:rsidR="007225B4" w:rsidRPr="005A0B3B" w:rsidTr="007225B4">
        <w:tc>
          <w:tcPr>
            <w:tcW w:w="1242"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GLSHV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%92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%90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%90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%90</w:t>
            </w:r>
          </w:p>
        </w:tc>
      </w:tr>
      <w:tr w:rsidR="007225B4" w:rsidRPr="005A0B3B" w:rsidTr="007225B4">
        <w:tc>
          <w:tcPr>
            <w:tcW w:w="1242"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Lewisham Sağlık Hizmetleri</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%95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%89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%90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%88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%87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%86 </w:t>
            </w: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%89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%86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%85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%89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%91 </w:t>
            </w:r>
          </w:p>
          <w:p w:rsidR="007225B4" w:rsidRPr="005A0B3B" w:rsidRDefault="007225B4" w:rsidP="007225B4">
            <w:pPr>
              <w:jc w:val="both"/>
              <w:rPr>
                <w:rFonts w:ascii="Calibri" w:eastAsia="Times New Roman" w:hAnsi="Calibri" w:cs="Times New Roman"/>
                <w:sz w:val="18"/>
                <w:szCs w:val="18"/>
                <w:lang w:eastAsia="tr-TR"/>
              </w:rPr>
            </w:pPr>
          </w:p>
        </w:tc>
        <w:tc>
          <w:tcPr>
            <w:tcW w:w="664" w:type="dxa"/>
          </w:tcPr>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%90</w:t>
            </w:r>
          </w:p>
        </w:tc>
      </w:tr>
    </w:tbl>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Veri kaynağı: Yatak Bulunabilirliği ve İşgali Verileri USH İngiltere </w:t>
      </w:r>
    </w:p>
    <w:p w:rsidR="007225B4" w:rsidRPr="005A0B3B" w:rsidRDefault="007225B4" w:rsidP="007225B4">
      <w:pPr>
        <w:jc w:val="both"/>
        <w:rPr>
          <w:rFonts w:ascii="Calibri" w:eastAsia="Times New Roman" w:hAnsi="Calibri" w:cs="Times New Roman"/>
          <w:b/>
          <w:sz w:val="18"/>
          <w:szCs w:val="18"/>
          <w:lang w:eastAsia="tr-TR"/>
        </w:rPr>
      </w:pPr>
      <w:r w:rsidRPr="005A0B3B">
        <w:rPr>
          <w:rFonts w:ascii="Calibri" w:eastAsia="Times New Roman" w:hAnsi="Calibri" w:cs="Times New Roman"/>
          <w:b/>
          <w:sz w:val="18"/>
          <w:szCs w:val="18"/>
          <w:lang w:eastAsia="tr-TR"/>
        </w:rPr>
        <w:lastRenderedPageBreak/>
        <w:t xml:space="preserve">Sonuç ve tavsiyeler </w:t>
      </w:r>
    </w:p>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VÖİ’nin</w:t>
      </w:r>
      <w:proofErr w:type="spellEnd"/>
      <w:r w:rsidRPr="005A0B3B">
        <w:rPr>
          <w:rFonts w:ascii="Calibri" w:eastAsia="Times New Roman" w:hAnsi="Calibri" w:cs="Times New Roman"/>
          <w:sz w:val="18"/>
          <w:szCs w:val="18"/>
          <w:lang w:eastAsia="tr-TR"/>
        </w:rPr>
        <w:t xml:space="preserve"> GLSHV için öngördüğü rejimin ardından gelecek olan kapatmalar, personel çıkarmalar, satışlar ve hizmet yeniden yapılandırmaları, ihtiyaçları en iyisinden azımsanan en kötüsünden ise büsbütün </w:t>
      </w:r>
      <w:proofErr w:type="spellStart"/>
      <w:r w:rsidRPr="005A0B3B">
        <w:rPr>
          <w:rFonts w:ascii="Calibri" w:eastAsia="Times New Roman" w:hAnsi="Calibri" w:cs="Times New Roman"/>
          <w:sz w:val="18"/>
          <w:szCs w:val="18"/>
          <w:lang w:eastAsia="tr-TR"/>
        </w:rPr>
        <w:t>boşlanan</w:t>
      </w:r>
      <w:proofErr w:type="spellEnd"/>
      <w:r w:rsidRPr="005A0B3B">
        <w:rPr>
          <w:rFonts w:ascii="Calibri" w:eastAsia="Times New Roman" w:hAnsi="Calibri" w:cs="Times New Roman"/>
          <w:sz w:val="18"/>
          <w:szCs w:val="18"/>
          <w:lang w:eastAsia="tr-TR"/>
        </w:rPr>
        <w:t xml:space="preserve"> hastaların yararına değildir. </w:t>
      </w:r>
    </w:p>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VÖİ’nin</w:t>
      </w:r>
      <w:proofErr w:type="spellEnd"/>
      <w:r w:rsidRPr="005A0B3B">
        <w:rPr>
          <w:rFonts w:ascii="Calibri" w:eastAsia="Times New Roman" w:hAnsi="Calibri" w:cs="Times New Roman"/>
          <w:sz w:val="18"/>
          <w:szCs w:val="18"/>
          <w:lang w:eastAsia="tr-TR"/>
        </w:rPr>
        <w:t xml:space="preserve"> dayandığı kanıtlara ilişkin değerlendirmemiz, yeniden yapılanmanın ardında klinik değil finansal mülahazaların yattığını teyit etmektedir. Gene aynı değerlendirme, açıkların, yerel </w:t>
      </w:r>
      <w:proofErr w:type="spellStart"/>
      <w:r w:rsidRPr="005A0B3B">
        <w:rPr>
          <w:rFonts w:ascii="Calibri" w:eastAsia="Times New Roman" w:hAnsi="Calibri" w:cs="Times New Roman"/>
          <w:sz w:val="18"/>
          <w:szCs w:val="18"/>
          <w:lang w:eastAsia="tr-TR"/>
        </w:rPr>
        <w:t>etkinsizliğin</w:t>
      </w:r>
      <w:proofErr w:type="spellEnd"/>
      <w:r w:rsidRPr="005A0B3B">
        <w:rPr>
          <w:rFonts w:ascii="Calibri" w:eastAsia="Times New Roman" w:hAnsi="Calibri" w:cs="Times New Roman"/>
          <w:sz w:val="18"/>
          <w:szCs w:val="18"/>
          <w:lang w:eastAsia="tr-TR"/>
        </w:rPr>
        <w:t xml:space="preserve"> değil ulusal politikanın sonucu olduğunu göstermektedir. </w:t>
      </w:r>
    </w:p>
    <w:p w:rsidR="007225B4" w:rsidRPr="005A0B3B" w:rsidRDefault="007225B4" w:rsidP="007225B4">
      <w:pPr>
        <w:jc w:val="both"/>
        <w:rPr>
          <w:rFonts w:ascii="Calibri" w:eastAsia="Times New Roman" w:hAnsi="Calibri" w:cs="Times New Roman"/>
          <w:sz w:val="18"/>
          <w:szCs w:val="18"/>
          <w:lang w:eastAsia="tr-TR"/>
        </w:rPr>
      </w:pPr>
      <w:proofErr w:type="spellStart"/>
      <w:r w:rsidRPr="005A0B3B">
        <w:rPr>
          <w:rFonts w:ascii="Calibri" w:eastAsia="Times New Roman" w:hAnsi="Calibri" w:cs="Times New Roman"/>
          <w:sz w:val="18"/>
          <w:szCs w:val="18"/>
          <w:lang w:eastAsia="tr-TR"/>
        </w:rPr>
        <w:t>Mid</w:t>
      </w:r>
      <w:proofErr w:type="spellEnd"/>
      <w:r w:rsidRPr="005A0B3B">
        <w:rPr>
          <w:rFonts w:ascii="Calibri" w:eastAsia="Times New Roman" w:hAnsi="Calibri" w:cs="Times New Roman"/>
          <w:sz w:val="18"/>
          <w:szCs w:val="18"/>
          <w:lang w:eastAsia="tr-TR"/>
        </w:rPr>
        <w:t xml:space="preserve"> </w:t>
      </w:r>
      <w:proofErr w:type="spellStart"/>
      <w:r w:rsidRPr="005A0B3B">
        <w:rPr>
          <w:rFonts w:ascii="Calibri" w:eastAsia="Times New Roman" w:hAnsi="Calibri" w:cs="Times New Roman"/>
          <w:sz w:val="18"/>
          <w:szCs w:val="18"/>
          <w:lang w:eastAsia="tr-TR"/>
        </w:rPr>
        <w:t>Staffordshire</w:t>
      </w:r>
      <w:proofErr w:type="spellEnd"/>
      <w:r w:rsidRPr="005A0B3B">
        <w:rPr>
          <w:rFonts w:ascii="Calibri" w:eastAsia="Times New Roman" w:hAnsi="Calibri" w:cs="Times New Roman"/>
          <w:sz w:val="18"/>
          <w:szCs w:val="18"/>
          <w:lang w:eastAsia="tr-TR"/>
        </w:rPr>
        <w:t xml:space="preserve"> Hastanesindeki standart altı hizmetle ilgili Francis araştırması, personel giderlerinden tasarruf sağlanırken  “sistemin herhangi bir parçasında (…) hasta güvenliği ve kalitesi üzerindeki potansiyel etkilerin hiç dikkate alınmadığı” tespitine yer vermişti.</w:t>
      </w:r>
      <w:r w:rsidRPr="005A0B3B">
        <w:rPr>
          <w:rFonts w:ascii="Calibri" w:eastAsia="Times New Roman" w:hAnsi="Calibri" w:cs="Times New Roman"/>
          <w:sz w:val="18"/>
          <w:szCs w:val="18"/>
          <w:vertAlign w:val="superscript"/>
          <w:lang w:eastAsia="tr-TR"/>
        </w:rPr>
        <w:footnoteReference w:id="24"/>
      </w:r>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Yukarıdakinin aynısı VÖİ raporu için de söylenebilir. Raporu kaleme alanlar, ulusal politikaların yarattığı bir finansal krizin hastalara zarar vermeden yerel ölçekte çözülebileceğini ortaya koyamamışlardır. Dolayısıyla, VÖİ ve öneriye taraf olan diğer görevliler, </w:t>
      </w:r>
      <w:proofErr w:type="spellStart"/>
      <w:r w:rsidRPr="005A0B3B">
        <w:rPr>
          <w:rFonts w:ascii="Calibri" w:eastAsia="Times New Roman" w:hAnsi="Calibri" w:cs="Times New Roman"/>
          <w:sz w:val="18"/>
          <w:szCs w:val="18"/>
          <w:lang w:eastAsia="tr-TR"/>
        </w:rPr>
        <w:t>Mid-Staffordshire</w:t>
      </w:r>
      <w:proofErr w:type="spellEnd"/>
      <w:r w:rsidRPr="005A0B3B">
        <w:rPr>
          <w:rFonts w:ascii="Calibri" w:eastAsia="Times New Roman" w:hAnsi="Calibri" w:cs="Times New Roman"/>
          <w:sz w:val="18"/>
          <w:szCs w:val="18"/>
          <w:lang w:eastAsia="tr-TR"/>
        </w:rPr>
        <w:t xml:space="preserve"> örneğinde Francis araştırmasının eleştirdiği türde finansal </w:t>
      </w:r>
      <w:proofErr w:type="spellStart"/>
      <w:r w:rsidRPr="005A0B3B">
        <w:rPr>
          <w:rFonts w:ascii="Calibri" w:eastAsia="Times New Roman" w:hAnsi="Calibri" w:cs="Times New Roman"/>
          <w:sz w:val="18"/>
          <w:szCs w:val="18"/>
          <w:lang w:eastAsia="tr-TR"/>
        </w:rPr>
        <w:t>itkili</w:t>
      </w:r>
      <w:proofErr w:type="spellEnd"/>
      <w:r w:rsidRPr="005A0B3B">
        <w:rPr>
          <w:rFonts w:ascii="Calibri" w:eastAsia="Times New Roman" w:hAnsi="Calibri" w:cs="Times New Roman"/>
          <w:sz w:val="18"/>
          <w:szCs w:val="18"/>
          <w:lang w:eastAsia="tr-TR"/>
        </w:rPr>
        <w:t xml:space="preserve"> hizmet değişimi sürecinin suçlularıdır.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Francis araştırması </w:t>
      </w:r>
      <w:proofErr w:type="spellStart"/>
      <w:r w:rsidRPr="005A0B3B">
        <w:rPr>
          <w:rFonts w:ascii="Calibri" w:eastAsia="Times New Roman" w:hAnsi="Calibri" w:cs="Times New Roman"/>
          <w:sz w:val="18"/>
          <w:szCs w:val="18"/>
          <w:lang w:eastAsia="tr-TR"/>
        </w:rPr>
        <w:t>Mid-Staffs’ta</w:t>
      </w:r>
      <w:proofErr w:type="spellEnd"/>
      <w:r w:rsidRPr="005A0B3B">
        <w:rPr>
          <w:rFonts w:ascii="Calibri" w:eastAsia="Times New Roman" w:hAnsi="Calibri" w:cs="Times New Roman"/>
          <w:sz w:val="18"/>
          <w:szCs w:val="18"/>
          <w:lang w:eastAsia="tr-TR"/>
        </w:rPr>
        <w:t xml:space="preserve"> “sistemin herhangi bir parçasında, (maliyeti düşürmenin) hasta güvenliği ve kalitesi üzerindeki potansiyel etkilerinin hiç dikkate alınmadığı” </w:t>
      </w:r>
      <w:r w:rsidRPr="005A0B3B">
        <w:rPr>
          <w:rFonts w:ascii="Calibri" w:eastAsia="Times New Roman" w:hAnsi="Calibri" w:cs="Times New Roman"/>
          <w:sz w:val="18"/>
          <w:szCs w:val="18"/>
          <w:vertAlign w:val="superscript"/>
          <w:lang w:eastAsia="tr-TR"/>
        </w:rPr>
        <w:footnoteReference w:id="25"/>
      </w:r>
      <w:r w:rsidRPr="005A0B3B">
        <w:rPr>
          <w:rFonts w:ascii="Calibri" w:eastAsia="Times New Roman" w:hAnsi="Calibri" w:cs="Times New Roman"/>
          <w:sz w:val="18"/>
          <w:szCs w:val="18"/>
          <w:lang w:eastAsia="tr-TR"/>
        </w:rPr>
        <w:t xml:space="preserve"> tespitini yaparken, Güneydoğu Londra’da hastalar, doktorlar, hemşireler ve klinik direktörleri dâhil olmak üzere idareciler birbiri ardına planları düşüncesizce ve tehlikeli bulup kınamaktadır. Lewisham Vakıf Heyeti de akut ve doğumevi hizmetlerinin kapatılması önerilerine karşı çıkmıştır.</w:t>
      </w:r>
      <w:r w:rsidRPr="005A0B3B">
        <w:rPr>
          <w:rFonts w:ascii="Calibri" w:eastAsia="Times New Roman" w:hAnsi="Calibri" w:cs="Times New Roman"/>
          <w:sz w:val="18"/>
          <w:szCs w:val="18"/>
          <w:vertAlign w:val="superscript"/>
          <w:lang w:eastAsia="tr-TR"/>
        </w:rPr>
        <w:footnoteReference w:id="26"/>
      </w:r>
      <w:r w:rsidRPr="005A0B3B">
        <w:rPr>
          <w:rFonts w:ascii="Calibri" w:eastAsia="Times New Roman" w:hAnsi="Calibri" w:cs="Times New Roman"/>
          <w:sz w:val="18"/>
          <w:szCs w:val="18"/>
          <w:lang w:eastAsia="tr-TR"/>
        </w:rPr>
        <w:t xml:space="preserve">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Hastaları en başa koyamayan ve hizmet değişimini yerel halkın sağlık hizmetlerine olan makul ihtiyaçları temelinde planlayamayan VÖİ bu önemli hususları bir kenara bırakıp halk sağlığı verilerini boşlama yolunu seçmiştir.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GLSHV </w:t>
      </w:r>
      <w:r w:rsidR="00435141">
        <w:rPr>
          <w:rFonts w:ascii="Calibri" w:eastAsia="Times New Roman" w:hAnsi="Calibri" w:cs="Times New Roman"/>
          <w:sz w:val="18"/>
          <w:szCs w:val="18"/>
          <w:lang w:eastAsia="tr-TR"/>
        </w:rPr>
        <w:t>s</w:t>
      </w:r>
      <w:r w:rsidRPr="005A0B3B">
        <w:rPr>
          <w:rFonts w:ascii="Calibri" w:eastAsia="Times New Roman" w:hAnsi="Calibri" w:cs="Times New Roman"/>
          <w:sz w:val="18"/>
          <w:szCs w:val="18"/>
          <w:lang w:eastAsia="tr-TR"/>
        </w:rPr>
        <w:t>ö</w:t>
      </w:r>
      <w:r w:rsidR="00435141">
        <w:rPr>
          <w:rFonts w:ascii="Calibri" w:eastAsia="Times New Roman" w:hAnsi="Calibri" w:cs="Times New Roman"/>
          <w:sz w:val="18"/>
          <w:szCs w:val="18"/>
          <w:lang w:eastAsia="tr-TR"/>
        </w:rPr>
        <w:t>z</w:t>
      </w:r>
      <w:r w:rsidRPr="005A0B3B">
        <w:rPr>
          <w:rFonts w:ascii="Calibri" w:eastAsia="Times New Roman" w:hAnsi="Calibri" w:cs="Times New Roman"/>
          <w:sz w:val="18"/>
          <w:szCs w:val="18"/>
          <w:lang w:eastAsia="tr-TR"/>
        </w:rPr>
        <w:t xml:space="preserve"> konusu olduğunda sürdürülemez nitelikteki sunucu rejimi ve Özel Vakıf İdaresi müdahalesi kendi türünde bir ilktir. Süreç, rutin hizmet değişiklikleriyle karşılaştırıldığında daha az istişare öngörmekte ve USH tesislerinin kapanmasını hızlandırmaktadır. Bakanlık, halk sağlığı planlamasını ve Francis Raporundaki tavsiyeleri dikkate alan yeni ve daha iyi usuller geliştirmelidir. </w:t>
      </w:r>
    </w:p>
    <w:p w:rsidR="007225B4" w:rsidRPr="005A0B3B" w:rsidRDefault="005A0B3B"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KÖO</w:t>
      </w:r>
      <w:r w:rsidR="007225B4" w:rsidRPr="005A0B3B">
        <w:rPr>
          <w:rFonts w:ascii="Calibri" w:eastAsia="Times New Roman" w:hAnsi="Calibri" w:cs="Times New Roman"/>
          <w:sz w:val="18"/>
          <w:szCs w:val="18"/>
          <w:lang w:eastAsia="tr-TR"/>
        </w:rPr>
        <w:t xml:space="preserve"> hizmet iptallerinde önemli bir rol oynamaktadır. Lewisham Hastanesi örneği söz konusu olduğunda hükümetin; bankerlerin, hissedarların ve şirket paydaşlarının çıkarlarını koruma adına çok ihtiyaç duyulan ve gelişim halindeki yerel bir USH hastanesini feda ettiğine kuşku yoktur. </w:t>
      </w:r>
      <w:proofErr w:type="spellStart"/>
      <w:r w:rsidR="007225B4" w:rsidRPr="005A0B3B">
        <w:rPr>
          <w:rFonts w:ascii="Calibri" w:eastAsia="Times New Roman" w:hAnsi="Calibri" w:cs="Times New Roman"/>
          <w:sz w:val="18"/>
          <w:szCs w:val="18"/>
          <w:lang w:eastAsia="tr-TR"/>
        </w:rPr>
        <w:t>GLSHV’de</w:t>
      </w:r>
      <w:proofErr w:type="spellEnd"/>
      <w:r w:rsidR="007225B4" w:rsidRPr="005A0B3B">
        <w:rPr>
          <w:rFonts w:ascii="Calibri" w:eastAsia="Times New Roman" w:hAnsi="Calibri" w:cs="Times New Roman"/>
          <w:sz w:val="18"/>
          <w:szCs w:val="18"/>
          <w:lang w:eastAsia="tr-TR"/>
        </w:rPr>
        <w:t xml:space="preserve"> ise, </w:t>
      </w:r>
      <w:proofErr w:type="spellStart"/>
      <w:r w:rsidRPr="005A0B3B">
        <w:rPr>
          <w:rFonts w:ascii="Calibri" w:eastAsia="Times New Roman" w:hAnsi="Calibri" w:cs="Times New Roman"/>
          <w:sz w:val="18"/>
          <w:szCs w:val="18"/>
          <w:lang w:eastAsia="tr-TR"/>
        </w:rPr>
        <w:t>KÖO</w:t>
      </w:r>
      <w:r w:rsidR="007225B4" w:rsidRPr="005A0B3B">
        <w:rPr>
          <w:rFonts w:ascii="Calibri" w:eastAsia="Times New Roman" w:hAnsi="Calibri" w:cs="Times New Roman"/>
          <w:sz w:val="18"/>
          <w:szCs w:val="18"/>
          <w:lang w:eastAsia="tr-TR"/>
        </w:rPr>
        <w:t>’yi</w:t>
      </w:r>
      <w:proofErr w:type="spellEnd"/>
      <w:r w:rsidR="007225B4" w:rsidRPr="005A0B3B">
        <w:rPr>
          <w:rFonts w:ascii="Calibri" w:eastAsia="Times New Roman" w:hAnsi="Calibri" w:cs="Times New Roman"/>
          <w:sz w:val="18"/>
          <w:szCs w:val="18"/>
          <w:lang w:eastAsia="tr-TR"/>
        </w:rPr>
        <w:t xml:space="preserve"> yaygınlaştırma, ulusal tarifeyi düşürme ve etkinlik tasarrufları isteme yönündeki hükümet politikalarının yol açtığı sonuçların faturası mağdurlara çıkarılmaktadır. Az önce sıralanan politika hedeflerinin tamamı aslında yöredeki USH için ayrılan fonların yanlış tahsisi anlamına gelmektedir.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Burada gerçek mağdurlar Güneydoğu Londra halkı, o yöredeki sağlık hizmetlerinde çalışanlar ve bu hizmetlerden yararlananlardır. Bu yolda devam edilmesi halinde halk sağlığı açısından çok ağır sonuçlar ortaya çıkabilecektir. </w:t>
      </w:r>
    </w:p>
    <w:p w:rsidR="005A0B3B" w:rsidRDefault="005A0B3B" w:rsidP="007225B4">
      <w:pPr>
        <w:jc w:val="both"/>
        <w:rPr>
          <w:rFonts w:ascii="Calibri" w:eastAsia="Times New Roman" w:hAnsi="Calibri" w:cs="Times New Roman"/>
          <w:sz w:val="18"/>
          <w:szCs w:val="18"/>
          <w:lang w:eastAsia="tr-TR"/>
        </w:rPr>
      </w:pPr>
    </w:p>
    <w:p w:rsidR="005A0B3B" w:rsidRDefault="005A0B3B" w:rsidP="007225B4">
      <w:pPr>
        <w:jc w:val="both"/>
        <w:rPr>
          <w:rFonts w:ascii="Calibri" w:eastAsia="Times New Roman" w:hAnsi="Calibri" w:cs="Times New Roman"/>
          <w:sz w:val="18"/>
          <w:szCs w:val="18"/>
          <w:lang w:eastAsia="tr-TR"/>
        </w:rPr>
      </w:pPr>
    </w:p>
    <w:p w:rsidR="005A0B3B" w:rsidRDefault="005A0B3B" w:rsidP="007225B4">
      <w:pPr>
        <w:jc w:val="both"/>
        <w:rPr>
          <w:rFonts w:ascii="Calibri" w:eastAsia="Times New Roman" w:hAnsi="Calibri" w:cs="Times New Roman"/>
          <w:sz w:val="18"/>
          <w:szCs w:val="18"/>
          <w:lang w:eastAsia="tr-TR"/>
        </w:rPr>
      </w:pP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lastRenderedPageBreak/>
        <w:t xml:space="preserve">Tavsiyelerimiz şunlardır: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(1) VÖİ rejiminin </w:t>
      </w:r>
      <w:proofErr w:type="spellStart"/>
      <w:r w:rsidRPr="005A0B3B">
        <w:rPr>
          <w:rFonts w:ascii="Calibri" w:eastAsia="Times New Roman" w:hAnsi="Calibri" w:cs="Times New Roman"/>
          <w:sz w:val="18"/>
          <w:szCs w:val="18"/>
          <w:lang w:eastAsia="tr-TR"/>
        </w:rPr>
        <w:t>GLSHV’ye</w:t>
      </w:r>
      <w:proofErr w:type="spellEnd"/>
      <w:r w:rsidRPr="005A0B3B">
        <w:rPr>
          <w:rFonts w:ascii="Calibri" w:eastAsia="Times New Roman" w:hAnsi="Calibri" w:cs="Times New Roman"/>
          <w:sz w:val="18"/>
          <w:szCs w:val="18"/>
          <w:lang w:eastAsia="tr-TR"/>
        </w:rPr>
        <w:t xml:space="preserve"> uygulanmasına son verilmeli, hükümet politikalarının Vakfın finansal politikaları üzerindeki etkisinden arındırılmış olarak ortadaki durum yeniden ele alınıp düşünülmelidir;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(2) VÖİ rejimi gelecekte, yetersiz finansal performansı hükümet politikalarından kaynaklanan Vakıflara uygulanmamalıdır; </w:t>
      </w:r>
    </w:p>
    <w:p w:rsidR="007225B4" w:rsidRPr="005A0B3B" w:rsidRDefault="007225B4" w:rsidP="007225B4">
      <w:p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 xml:space="preserve">(3) Sağlık Bakanlığı’nın VÖİ rejimine ilişkin yönetmeliği, şu hususları gözetecek şekilde değiştirilmelidir: (a) halk sağlığı alanındaki uygun ve makul ihtiyaç değerlendirmelerinin, Güneydoğu Londra’da olsun başka yerlerde olsun gelecekteki tavsiyelerde temel alınması, (b) ilgili tüm verilerin ve yöntemlerin kamuya açık edilmesi ve (c) </w:t>
      </w:r>
      <w:proofErr w:type="spellStart"/>
      <w:r w:rsidRPr="005A0B3B">
        <w:rPr>
          <w:rFonts w:ascii="Calibri" w:eastAsia="Times New Roman" w:hAnsi="Calibri" w:cs="Times New Roman"/>
          <w:sz w:val="18"/>
          <w:szCs w:val="18"/>
          <w:lang w:eastAsia="tr-TR"/>
        </w:rPr>
        <w:t>VÖİ’nin</w:t>
      </w:r>
      <w:proofErr w:type="spellEnd"/>
      <w:r w:rsidRPr="005A0B3B">
        <w:rPr>
          <w:rFonts w:ascii="Calibri" w:eastAsia="Times New Roman" w:hAnsi="Calibri" w:cs="Times New Roman"/>
          <w:sz w:val="18"/>
          <w:szCs w:val="18"/>
          <w:lang w:eastAsia="tr-TR"/>
        </w:rPr>
        <w:t xml:space="preserve"> aşağıda belirtilen açılardan hizmet planlama standartlarına uygun hareket etmesi: </w:t>
      </w:r>
      <w:proofErr w:type="gramEnd"/>
    </w:p>
    <w:p w:rsidR="007225B4" w:rsidRPr="005A0B3B" w:rsidRDefault="007225B4" w:rsidP="007225B4">
      <w:pPr>
        <w:numPr>
          <w:ilvl w:val="0"/>
          <w:numId w:val="10"/>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Verimlilik ölçü ve hedeflerinin planlama ve erişim yerine kullanılmaması z</w:t>
      </w:r>
    </w:p>
    <w:p w:rsidR="007225B4" w:rsidRPr="005A0B3B" w:rsidRDefault="007225B4" w:rsidP="007225B4">
      <w:pPr>
        <w:numPr>
          <w:ilvl w:val="0"/>
          <w:numId w:val="10"/>
        </w:num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yolda</w:t>
      </w:r>
      <w:proofErr w:type="gramEnd"/>
      <w:r w:rsidRPr="005A0B3B">
        <w:rPr>
          <w:rFonts w:ascii="Calibri" w:eastAsia="Times New Roman" w:hAnsi="Calibri" w:cs="Times New Roman"/>
          <w:sz w:val="18"/>
          <w:szCs w:val="18"/>
          <w:lang w:eastAsia="tr-TR"/>
        </w:rPr>
        <w:t xml:space="preserve"> geçen sürelerin halkın hizmet ihtiyacının ve kullanımının ölçüsü olarak kullanılmaması </w:t>
      </w:r>
    </w:p>
    <w:p w:rsidR="007225B4" w:rsidRPr="005A0B3B" w:rsidRDefault="007225B4" w:rsidP="007225B4">
      <w:pPr>
        <w:numPr>
          <w:ilvl w:val="0"/>
          <w:numId w:val="10"/>
        </w:num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 MORI kamuoyu yoklamalarının halk sağlığı planlaması yerine kullanılmaması </w:t>
      </w:r>
    </w:p>
    <w:p w:rsidR="007225B4" w:rsidRPr="005A0B3B" w:rsidRDefault="007225B4" w:rsidP="007225B4">
      <w:pPr>
        <w:numPr>
          <w:ilvl w:val="0"/>
          <w:numId w:val="10"/>
        </w:numPr>
        <w:jc w:val="both"/>
        <w:rPr>
          <w:rFonts w:ascii="Calibri" w:eastAsia="Times New Roman" w:hAnsi="Calibri" w:cs="Times New Roman"/>
          <w:sz w:val="18"/>
          <w:szCs w:val="18"/>
          <w:lang w:eastAsia="tr-TR"/>
        </w:rPr>
      </w:pPr>
      <w:proofErr w:type="gramStart"/>
      <w:r w:rsidRPr="005A0B3B">
        <w:rPr>
          <w:rFonts w:ascii="Calibri" w:eastAsia="Times New Roman" w:hAnsi="Calibri" w:cs="Times New Roman"/>
          <w:sz w:val="18"/>
          <w:szCs w:val="18"/>
          <w:lang w:eastAsia="tr-TR"/>
        </w:rPr>
        <w:t>standart</w:t>
      </w:r>
      <w:proofErr w:type="gramEnd"/>
      <w:r w:rsidRPr="005A0B3B">
        <w:rPr>
          <w:rFonts w:ascii="Calibri" w:eastAsia="Times New Roman" w:hAnsi="Calibri" w:cs="Times New Roman"/>
          <w:sz w:val="18"/>
          <w:szCs w:val="18"/>
          <w:lang w:eastAsia="tr-TR"/>
        </w:rPr>
        <w:t xml:space="preserve"> dışı verilerin, yöntemlerin ve tanımların kullanılmaması;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(4) Sağlık Bakanlığı ve Hazine </w:t>
      </w:r>
      <w:r w:rsidR="005A0B3B" w:rsidRPr="005A0B3B">
        <w:rPr>
          <w:rFonts w:ascii="Calibri" w:eastAsia="Times New Roman" w:hAnsi="Calibri" w:cs="Times New Roman"/>
          <w:sz w:val="18"/>
          <w:szCs w:val="18"/>
          <w:lang w:eastAsia="tr-TR"/>
        </w:rPr>
        <w:t>KÖO</w:t>
      </w:r>
      <w:r w:rsidRPr="005A0B3B">
        <w:rPr>
          <w:rFonts w:ascii="Calibri" w:eastAsia="Times New Roman" w:hAnsi="Calibri" w:cs="Times New Roman"/>
          <w:sz w:val="18"/>
          <w:szCs w:val="18"/>
          <w:lang w:eastAsia="tr-TR"/>
        </w:rPr>
        <w:t xml:space="preserve"> sözleşmelerindeki finansal koşulları araştırarak bu koşulları kamu denetimi altına çekmeli ve gerektiğinde sözleşmelerin yeniden görüşülmesini sağlamalı; bu olmazsa da Parlamento bu yönde talepte bulunmalıdır; </w:t>
      </w:r>
    </w:p>
    <w:p w:rsidR="007225B4" w:rsidRPr="005A0B3B" w:rsidRDefault="007225B4" w:rsidP="007225B4">
      <w:pPr>
        <w:jc w:val="both"/>
        <w:rPr>
          <w:rFonts w:ascii="Calibri" w:eastAsia="Times New Roman" w:hAnsi="Calibri" w:cs="Times New Roman"/>
          <w:sz w:val="18"/>
          <w:szCs w:val="18"/>
          <w:lang w:eastAsia="tr-TR"/>
        </w:rPr>
      </w:pPr>
      <w:r w:rsidRPr="005A0B3B">
        <w:rPr>
          <w:rFonts w:ascii="Calibri" w:eastAsia="Times New Roman" w:hAnsi="Calibri" w:cs="Times New Roman"/>
          <w:sz w:val="18"/>
          <w:szCs w:val="18"/>
          <w:lang w:eastAsia="tr-TR"/>
        </w:rPr>
        <w:t xml:space="preserve">(5) Sayıştay, Hizmet Kalite Komisyonu ve Avam Kamarası Sağlık Komitesi, dış danışmanların VÖİ için hazırladıkları raporların maliyetini ve kalitesini ivedilikle araştırmalıdır. </w:t>
      </w:r>
    </w:p>
    <w:p w:rsidR="009D5B41" w:rsidRPr="005A0B3B" w:rsidRDefault="009D5B41">
      <w:pPr>
        <w:rPr>
          <w:rFonts w:ascii="Calibri" w:hAnsi="Calibri"/>
          <w:sz w:val="18"/>
          <w:szCs w:val="18"/>
        </w:rPr>
      </w:pPr>
    </w:p>
    <w:sectPr w:rsidR="009D5B41" w:rsidRPr="005A0B3B" w:rsidSect="007225B4">
      <w:headerReference w:type="default" r:id="rId9"/>
      <w:pgSz w:w="11906" w:h="16838"/>
      <w:pgMar w:top="1418" w:right="1418" w:bottom="1418" w:left="1418" w:header="1928" w:footer="964"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67F" w:rsidRDefault="00C1567F" w:rsidP="007225B4">
      <w:pPr>
        <w:spacing w:after="0" w:line="240" w:lineRule="auto"/>
      </w:pPr>
      <w:r>
        <w:separator/>
      </w:r>
    </w:p>
  </w:endnote>
  <w:endnote w:type="continuationSeparator" w:id="0">
    <w:p w:rsidR="00C1567F" w:rsidRDefault="00C1567F" w:rsidP="0072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30204"/>
    <w:charset w:val="A2"/>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pranq eco sans">
    <w:altName w:val="Trebuchet MS"/>
    <w:charset w:val="00"/>
    <w:family w:val="swiss"/>
    <w:pitch w:val="variable"/>
    <w:sig w:usb0="00000003" w:usb1="1000204A"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67F" w:rsidRDefault="00C1567F" w:rsidP="007225B4">
      <w:pPr>
        <w:spacing w:after="0" w:line="240" w:lineRule="auto"/>
      </w:pPr>
      <w:r>
        <w:separator/>
      </w:r>
    </w:p>
  </w:footnote>
  <w:footnote w:type="continuationSeparator" w:id="0">
    <w:p w:rsidR="00C1567F" w:rsidRDefault="00C1567F" w:rsidP="007225B4">
      <w:pPr>
        <w:spacing w:after="0" w:line="240" w:lineRule="auto"/>
      </w:pPr>
      <w:r>
        <w:continuationSeparator/>
      </w:r>
    </w:p>
  </w:footnote>
  <w:footnote w:id="1">
    <w:p w:rsidR="007225B4" w:rsidRPr="009807FA" w:rsidRDefault="007225B4" w:rsidP="007225B4">
      <w:pPr>
        <w:jc w:val="both"/>
        <w:rPr>
          <w:sz w:val="18"/>
          <w:szCs w:val="18"/>
        </w:rPr>
      </w:pPr>
      <w:r>
        <w:rPr>
          <w:rStyle w:val="DipnotBavurusu"/>
        </w:rPr>
        <w:footnoteRef/>
      </w:r>
      <w:r w:rsidRPr="006F376B">
        <w:rPr>
          <w:sz w:val="18"/>
          <w:szCs w:val="18"/>
        </w:rPr>
        <w:t xml:space="preserve"> Güney Londra</w:t>
      </w:r>
      <w:r>
        <w:rPr>
          <w:sz w:val="18"/>
          <w:szCs w:val="18"/>
        </w:rPr>
        <w:t xml:space="preserve"> Ulusal Sağlık Hizmeti Vakfının Atanmasına ilişkin 2012 1806 sayılı karara ek olarak verilen açıklama </w:t>
      </w:r>
      <w:r w:rsidRPr="006F376B">
        <w:rPr>
          <w:sz w:val="18"/>
          <w:szCs w:val="18"/>
        </w:rPr>
        <w:t xml:space="preserve"> </w:t>
      </w:r>
      <w:r>
        <w:t xml:space="preserve"> </w:t>
      </w:r>
    </w:p>
  </w:footnote>
  <w:footnote w:id="2">
    <w:p w:rsidR="007225B4" w:rsidRPr="000D5736" w:rsidRDefault="007225B4" w:rsidP="007225B4">
      <w:pPr>
        <w:jc w:val="both"/>
        <w:rPr>
          <w:szCs w:val="24"/>
        </w:rPr>
      </w:pPr>
      <w:r>
        <w:rPr>
          <w:rStyle w:val="DipnotBavurusu"/>
        </w:rPr>
        <w:footnoteRef/>
      </w:r>
      <w:r>
        <w:t xml:space="preserve"> </w:t>
      </w:r>
      <w:r w:rsidRPr="006F376B">
        <w:rPr>
          <w:sz w:val="18"/>
          <w:szCs w:val="18"/>
        </w:rPr>
        <w:t xml:space="preserve">Güney Londra USH </w:t>
      </w:r>
      <w:r>
        <w:rPr>
          <w:sz w:val="18"/>
          <w:szCs w:val="18"/>
        </w:rPr>
        <w:t xml:space="preserve">Vakfı, Özel İdare Başkanlığı. </w:t>
      </w:r>
      <w:proofErr w:type="spellStart"/>
      <w:r>
        <w:rPr>
          <w:sz w:val="18"/>
          <w:szCs w:val="18"/>
        </w:rPr>
        <w:t>USH’de</w:t>
      </w:r>
      <w:proofErr w:type="spellEnd"/>
      <w:r>
        <w:rPr>
          <w:sz w:val="18"/>
          <w:szCs w:val="18"/>
        </w:rPr>
        <w:t xml:space="preserve"> sürdürülebilirliğin sağlanması</w:t>
      </w:r>
      <w:r w:rsidRPr="006F376B">
        <w:rPr>
          <w:sz w:val="18"/>
          <w:szCs w:val="18"/>
        </w:rPr>
        <w:t xml:space="preserve">: </w:t>
      </w:r>
      <w:r>
        <w:rPr>
          <w:sz w:val="18"/>
          <w:szCs w:val="18"/>
        </w:rPr>
        <w:t xml:space="preserve">Vakıf Özel İdaresi başkanlığının Güney Londra USH Vakfı ve güneydoğu Londra’da USH ile ilgili raporu. </w:t>
      </w:r>
    </w:p>
  </w:footnote>
  <w:footnote w:id="3">
    <w:p w:rsidR="007225B4" w:rsidRPr="006F376B" w:rsidRDefault="007225B4" w:rsidP="007225B4">
      <w:pPr>
        <w:jc w:val="both"/>
        <w:rPr>
          <w:sz w:val="18"/>
          <w:szCs w:val="18"/>
        </w:rPr>
      </w:pPr>
      <w:r>
        <w:rPr>
          <w:rStyle w:val="DipnotBavurusu"/>
        </w:rPr>
        <w:footnoteRef/>
      </w:r>
      <w:proofErr w:type="gramStart"/>
      <w:r w:rsidRPr="006F376B">
        <w:rPr>
          <w:sz w:val="18"/>
          <w:szCs w:val="18"/>
        </w:rPr>
        <w:t xml:space="preserve">Avam Kamarası Kamu Hesapları Komitesi. </w:t>
      </w:r>
      <w:proofErr w:type="gramEnd"/>
      <w:r>
        <w:rPr>
          <w:sz w:val="18"/>
          <w:szCs w:val="18"/>
        </w:rPr>
        <w:t xml:space="preserve">Sağlık Bakanlığı. </w:t>
      </w:r>
      <w:proofErr w:type="spellStart"/>
      <w:r>
        <w:rPr>
          <w:sz w:val="18"/>
          <w:szCs w:val="18"/>
        </w:rPr>
        <w:t>USH’nin</w:t>
      </w:r>
      <w:proofErr w:type="spellEnd"/>
      <w:r>
        <w:rPr>
          <w:sz w:val="18"/>
          <w:szCs w:val="18"/>
        </w:rPr>
        <w:t xml:space="preserve"> gelecekteki finansal sürdürülebilirliğinin sağlanması. 2012-13 Oturumu On Altıncı Raporu </w:t>
      </w:r>
      <w:r w:rsidRPr="006F376B">
        <w:rPr>
          <w:sz w:val="18"/>
          <w:szCs w:val="18"/>
        </w:rPr>
        <w:t xml:space="preserve">22 Ekim 2012, 3. </w:t>
      </w:r>
    </w:p>
    <w:p w:rsidR="007225B4" w:rsidRDefault="007225B4" w:rsidP="007225B4">
      <w:pPr>
        <w:pStyle w:val="DipnotMetni"/>
      </w:pPr>
      <w:r>
        <w:t xml:space="preserve"> </w:t>
      </w:r>
    </w:p>
  </w:footnote>
  <w:footnote w:id="4">
    <w:p w:rsidR="007225B4" w:rsidRPr="004763BF" w:rsidRDefault="007225B4" w:rsidP="007225B4">
      <w:pPr>
        <w:jc w:val="both"/>
        <w:rPr>
          <w:sz w:val="18"/>
          <w:szCs w:val="18"/>
        </w:rPr>
      </w:pPr>
      <w:r>
        <w:rPr>
          <w:rStyle w:val="DipnotBavurusu"/>
        </w:rPr>
        <w:footnoteRef/>
      </w:r>
      <w:proofErr w:type="spellStart"/>
      <w:r>
        <w:rPr>
          <w:sz w:val="18"/>
          <w:szCs w:val="18"/>
        </w:rPr>
        <w:t>Ibid</w:t>
      </w:r>
      <w:proofErr w:type="spellEnd"/>
      <w:r>
        <w:rPr>
          <w:sz w:val="18"/>
          <w:szCs w:val="18"/>
        </w:rPr>
        <w:t xml:space="preserve">. </w:t>
      </w:r>
      <w:r>
        <w:t xml:space="preserve"> </w:t>
      </w:r>
    </w:p>
  </w:footnote>
  <w:footnote w:id="5">
    <w:p w:rsidR="007225B4" w:rsidRPr="00345914" w:rsidRDefault="007225B4" w:rsidP="007225B4">
      <w:pPr>
        <w:jc w:val="both"/>
        <w:rPr>
          <w:sz w:val="18"/>
          <w:szCs w:val="18"/>
        </w:rPr>
      </w:pPr>
      <w:r>
        <w:rPr>
          <w:rStyle w:val="DipnotBavurusu"/>
        </w:rPr>
        <w:footnoteRef/>
      </w:r>
      <w:r>
        <w:t xml:space="preserve"> </w:t>
      </w:r>
      <w:r>
        <w:rPr>
          <w:sz w:val="18"/>
          <w:szCs w:val="18"/>
        </w:rPr>
        <w:t xml:space="preserve"> </w:t>
      </w:r>
      <w:proofErr w:type="spellStart"/>
      <w:r>
        <w:rPr>
          <w:sz w:val="18"/>
          <w:szCs w:val="18"/>
        </w:rPr>
        <w:t>Ibid</w:t>
      </w:r>
      <w:proofErr w:type="spellEnd"/>
      <w:r>
        <w:rPr>
          <w:sz w:val="18"/>
          <w:szCs w:val="18"/>
        </w:rPr>
        <w:t xml:space="preserve">: 69. </w:t>
      </w:r>
    </w:p>
  </w:footnote>
  <w:footnote w:id="6">
    <w:p w:rsidR="007225B4" w:rsidRPr="00C96DE0" w:rsidRDefault="007225B4" w:rsidP="007225B4">
      <w:pPr>
        <w:jc w:val="both"/>
        <w:rPr>
          <w:sz w:val="18"/>
          <w:szCs w:val="18"/>
        </w:rPr>
      </w:pPr>
      <w:r>
        <w:rPr>
          <w:rStyle w:val="DipnotBavurusu"/>
        </w:rPr>
        <w:footnoteRef/>
      </w:r>
      <w:r>
        <w:rPr>
          <w:sz w:val="18"/>
          <w:szCs w:val="18"/>
        </w:rPr>
        <w:t>Sağlık Bakanlığı</w:t>
      </w:r>
      <w:r w:rsidRPr="004763BF">
        <w:rPr>
          <w:sz w:val="18"/>
          <w:szCs w:val="18"/>
        </w:rPr>
        <w:t xml:space="preserve">, 2012. </w:t>
      </w:r>
      <w:r>
        <w:rPr>
          <w:sz w:val="18"/>
          <w:szCs w:val="18"/>
        </w:rPr>
        <w:t>USH Vakıflarına Atanan Özel İdareler için Yönetmelik</w:t>
      </w:r>
      <w:r w:rsidRPr="004763BF">
        <w:rPr>
          <w:sz w:val="18"/>
          <w:szCs w:val="18"/>
        </w:rPr>
        <w:t>, 7. Bakınız: https://www.wp.dh.gov.uk/publications/files/2012/07/statutory-guidance-tr</w:t>
      </w:r>
      <w:r>
        <w:rPr>
          <w:sz w:val="18"/>
          <w:szCs w:val="18"/>
        </w:rPr>
        <w:t xml:space="preserve">ust-special-administrators.pdf </w:t>
      </w:r>
      <w:r>
        <w:t xml:space="preserve"> </w:t>
      </w:r>
    </w:p>
  </w:footnote>
  <w:footnote w:id="7">
    <w:p w:rsidR="007225B4" w:rsidRPr="004763BF" w:rsidRDefault="007225B4" w:rsidP="007225B4">
      <w:pPr>
        <w:jc w:val="both"/>
        <w:rPr>
          <w:sz w:val="18"/>
          <w:szCs w:val="18"/>
        </w:rPr>
      </w:pPr>
      <w:r>
        <w:rPr>
          <w:rStyle w:val="DipnotBavurusu"/>
        </w:rPr>
        <w:footnoteRef/>
      </w:r>
      <w:r w:rsidRPr="004763BF">
        <w:rPr>
          <w:sz w:val="18"/>
          <w:szCs w:val="18"/>
        </w:rPr>
        <w:t>USH</w:t>
      </w:r>
      <w:r>
        <w:rPr>
          <w:sz w:val="18"/>
          <w:szCs w:val="18"/>
        </w:rPr>
        <w:t xml:space="preserve"> Yasası</w:t>
      </w:r>
      <w:r w:rsidRPr="004763BF">
        <w:rPr>
          <w:sz w:val="18"/>
          <w:szCs w:val="18"/>
        </w:rPr>
        <w:t xml:space="preserve"> 2006, s. 65B(2) </w:t>
      </w:r>
    </w:p>
    <w:p w:rsidR="007225B4" w:rsidRDefault="007225B4" w:rsidP="007225B4">
      <w:pPr>
        <w:pStyle w:val="DipnotMetni"/>
      </w:pPr>
      <w:r>
        <w:t xml:space="preserve"> </w:t>
      </w:r>
    </w:p>
  </w:footnote>
  <w:footnote w:id="8">
    <w:p w:rsidR="007225B4" w:rsidRPr="00B74838" w:rsidRDefault="007225B4" w:rsidP="007225B4">
      <w:pPr>
        <w:jc w:val="both"/>
        <w:rPr>
          <w:sz w:val="18"/>
          <w:szCs w:val="18"/>
        </w:rPr>
      </w:pPr>
      <w:r>
        <w:rPr>
          <w:rStyle w:val="DipnotBavurusu"/>
        </w:rPr>
        <w:footnoteRef/>
      </w:r>
      <w:r>
        <w:rPr>
          <w:sz w:val="18"/>
          <w:szCs w:val="18"/>
        </w:rPr>
        <w:t xml:space="preserve"> </w:t>
      </w:r>
      <w:r w:rsidRPr="00B74838">
        <w:rPr>
          <w:sz w:val="18"/>
          <w:szCs w:val="18"/>
        </w:rPr>
        <w:t xml:space="preserve">USH Tıbbi Direktörü. </w:t>
      </w:r>
      <w:proofErr w:type="gramStart"/>
      <w:r w:rsidRPr="00B74838">
        <w:rPr>
          <w:sz w:val="18"/>
          <w:szCs w:val="18"/>
        </w:rPr>
        <w:t xml:space="preserve">Sağlık Bakanlığına mektup. </w:t>
      </w:r>
      <w:proofErr w:type="gramEnd"/>
      <w:r w:rsidRPr="00B74838">
        <w:rPr>
          <w:sz w:val="18"/>
          <w:szCs w:val="18"/>
        </w:rPr>
        <w:t>Ocak 30, 2013, bakınız: https://www.gov.uk/government/uploads/system/uploads/attachment_</w:t>
      </w:r>
      <w:proofErr w:type="gramStart"/>
      <w:r w:rsidRPr="00B74838">
        <w:rPr>
          <w:sz w:val="18"/>
          <w:szCs w:val="18"/>
        </w:rPr>
        <w:t>data</w:t>
      </w:r>
      <w:proofErr w:type="gramEnd"/>
      <w:r w:rsidRPr="00B74838">
        <w:rPr>
          <w:sz w:val="18"/>
          <w:szCs w:val="18"/>
        </w:rPr>
        <w:t xml:space="preserve">/file/156291/south-london-healthcare-nhs-trust-bruce-keogh-letter.pdf. </w:t>
      </w:r>
    </w:p>
    <w:p w:rsidR="007225B4" w:rsidRDefault="007225B4" w:rsidP="007225B4">
      <w:pPr>
        <w:pStyle w:val="DipnotMetni"/>
      </w:pPr>
      <w:r>
        <w:t xml:space="preserve"> </w:t>
      </w:r>
    </w:p>
  </w:footnote>
  <w:footnote w:id="9">
    <w:p w:rsidR="007225B4" w:rsidRPr="0039409A" w:rsidRDefault="007225B4" w:rsidP="007225B4">
      <w:pPr>
        <w:jc w:val="both"/>
        <w:rPr>
          <w:sz w:val="18"/>
          <w:szCs w:val="18"/>
        </w:rPr>
      </w:pPr>
      <w:r w:rsidRPr="0039409A">
        <w:rPr>
          <w:rStyle w:val="DipnotBavurusu"/>
        </w:rPr>
        <w:footnoteRef/>
      </w:r>
      <w:proofErr w:type="spellStart"/>
      <w:r w:rsidRPr="0039409A">
        <w:rPr>
          <w:sz w:val="18"/>
          <w:szCs w:val="18"/>
        </w:rPr>
        <w:t>Bexley</w:t>
      </w:r>
      <w:proofErr w:type="spellEnd"/>
      <w:r w:rsidRPr="0039409A">
        <w:rPr>
          <w:sz w:val="18"/>
          <w:szCs w:val="18"/>
        </w:rPr>
        <w:t xml:space="preserve">, </w:t>
      </w:r>
      <w:proofErr w:type="spellStart"/>
      <w:r w:rsidRPr="0039409A">
        <w:rPr>
          <w:sz w:val="18"/>
          <w:szCs w:val="18"/>
        </w:rPr>
        <w:t>Bromley</w:t>
      </w:r>
      <w:proofErr w:type="spellEnd"/>
      <w:r w:rsidRPr="0039409A">
        <w:rPr>
          <w:sz w:val="18"/>
          <w:szCs w:val="18"/>
        </w:rPr>
        <w:t xml:space="preserve">, </w:t>
      </w:r>
      <w:proofErr w:type="spellStart"/>
      <w:r w:rsidRPr="0039409A">
        <w:rPr>
          <w:sz w:val="18"/>
          <w:szCs w:val="18"/>
        </w:rPr>
        <w:t>Greenwich</w:t>
      </w:r>
      <w:proofErr w:type="spellEnd"/>
      <w:r w:rsidRPr="0039409A">
        <w:rPr>
          <w:sz w:val="18"/>
          <w:szCs w:val="18"/>
        </w:rPr>
        <w:t xml:space="preserve">, </w:t>
      </w:r>
      <w:proofErr w:type="spellStart"/>
      <w:r w:rsidRPr="0039409A">
        <w:rPr>
          <w:sz w:val="18"/>
          <w:szCs w:val="18"/>
        </w:rPr>
        <w:t>Lambeth</w:t>
      </w:r>
      <w:proofErr w:type="spellEnd"/>
      <w:r w:rsidRPr="0039409A">
        <w:rPr>
          <w:sz w:val="18"/>
          <w:szCs w:val="18"/>
        </w:rPr>
        <w:t xml:space="preserve">, Lewisham ve </w:t>
      </w:r>
      <w:proofErr w:type="spellStart"/>
      <w:r w:rsidRPr="0039409A">
        <w:rPr>
          <w:sz w:val="18"/>
          <w:szCs w:val="18"/>
        </w:rPr>
        <w:t>Southwark</w:t>
      </w:r>
      <w:proofErr w:type="spellEnd"/>
      <w:r w:rsidRPr="0039409A">
        <w:rPr>
          <w:sz w:val="18"/>
          <w:szCs w:val="18"/>
        </w:rPr>
        <w:t>.</w:t>
      </w:r>
    </w:p>
  </w:footnote>
  <w:footnote w:id="10">
    <w:p w:rsidR="007225B4" w:rsidRPr="00DD59F4" w:rsidRDefault="007225B4" w:rsidP="007225B4">
      <w:pPr>
        <w:jc w:val="both"/>
        <w:rPr>
          <w:sz w:val="18"/>
          <w:szCs w:val="18"/>
        </w:rPr>
      </w:pPr>
      <w:r w:rsidRPr="0039409A">
        <w:rPr>
          <w:rStyle w:val="DipnotBavurusu"/>
        </w:rPr>
        <w:footnoteRef/>
      </w:r>
      <w:r w:rsidRPr="0039409A">
        <w:t xml:space="preserve"> </w:t>
      </w:r>
      <w:proofErr w:type="spellStart"/>
      <w:r>
        <w:rPr>
          <w:sz w:val="18"/>
          <w:szCs w:val="18"/>
        </w:rPr>
        <w:t>Bexley</w:t>
      </w:r>
      <w:proofErr w:type="spellEnd"/>
      <w:r>
        <w:rPr>
          <w:sz w:val="18"/>
          <w:szCs w:val="18"/>
        </w:rPr>
        <w:t xml:space="preserve">, </w:t>
      </w:r>
      <w:proofErr w:type="spellStart"/>
      <w:r>
        <w:rPr>
          <w:sz w:val="18"/>
          <w:szCs w:val="18"/>
        </w:rPr>
        <w:t>Greenwich</w:t>
      </w:r>
      <w:proofErr w:type="spellEnd"/>
      <w:r>
        <w:rPr>
          <w:sz w:val="18"/>
          <w:szCs w:val="18"/>
        </w:rPr>
        <w:t xml:space="preserve"> ve Lewisham. </w:t>
      </w:r>
    </w:p>
  </w:footnote>
  <w:footnote w:id="11">
    <w:p w:rsidR="007225B4" w:rsidRPr="0039409A" w:rsidRDefault="007225B4" w:rsidP="007225B4">
      <w:pPr>
        <w:jc w:val="both"/>
        <w:rPr>
          <w:sz w:val="18"/>
          <w:szCs w:val="18"/>
        </w:rPr>
      </w:pPr>
      <w:r>
        <w:rPr>
          <w:rStyle w:val="DipnotBavurusu"/>
        </w:rPr>
        <w:footnoteRef/>
      </w:r>
      <w:r>
        <w:t xml:space="preserve"> </w:t>
      </w:r>
      <w:proofErr w:type="spellStart"/>
      <w:r w:rsidRPr="00DD59F4">
        <w:rPr>
          <w:sz w:val="18"/>
          <w:szCs w:val="18"/>
        </w:rPr>
        <w:t>D’Souza</w:t>
      </w:r>
      <w:proofErr w:type="spellEnd"/>
      <w:r w:rsidRPr="00DD59F4">
        <w:rPr>
          <w:sz w:val="18"/>
          <w:szCs w:val="18"/>
        </w:rPr>
        <w:t xml:space="preserve"> S. </w:t>
      </w:r>
      <w:proofErr w:type="spellStart"/>
      <w:r w:rsidRPr="00DD59F4">
        <w:rPr>
          <w:sz w:val="18"/>
          <w:szCs w:val="18"/>
        </w:rPr>
        <w:t>Preventing</w:t>
      </w:r>
      <w:proofErr w:type="spellEnd"/>
      <w:r w:rsidRPr="00DD59F4">
        <w:rPr>
          <w:sz w:val="18"/>
          <w:szCs w:val="18"/>
        </w:rPr>
        <w:t xml:space="preserve"> </w:t>
      </w:r>
      <w:proofErr w:type="spellStart"/>
      <w:r w:rsidRPr="00DD59F4">
        <w:rPr>
          <w:sz w:val="18"/>
          <w:szCs w:val="18"/>
        </w:rPr>
        <w:t>admission</w:t>
      </w:r>
      <w:proofErr w:type="spellEnd"/>
      <w:r w:rsidRPr="00DD59F4">
        <w:rPr>
          <w:sz w:val="18"/>
          <w:szCs w:val="18"/>
        </w:rPr>
        <w:t xml:space="preserve"> of </w:t>
      </w:r>
      <w:proofErr w:type="spellStart"/>
      <w:r w:rsidRPr="00DD59F4">
        <w:rPr>
          <w:sz w:val="18"/>
          <w:szCs w:val="18"/>
        </w:rPr>
        <w:t>older</w:t>
      </w:r>
      <w:proofErr w:type="spellEnd"/>
      <w:r w:rsidRPr="00DD59F4">
        <w:rPr>
          <w:sz w:val="18"/>
          <w:szCs w:val="18"/>
        </w:rPr>
        <w:t xml:space="preserve"> </w:t>
      </w:r>
      <w:proofErr w:type="spellStart"/>
      <w:r w:rsidRPr="00DD59F4">
        <w:rPr>
          <w:sz w:val="18"/>
          <w:szCs w:val="18"/>
        </w:rPr>
        <w:t>people</w:t>
      </w:r>
      <w:proofErr w:type="spellEnd"/>
      <w:r w:rsidRPr="00DD59F4">
        <w:rPr>
          <w:sz w:val="18"/>
          <w:szCs w:val="18"/>
        </w:rPr>
        <w:t xml:space="preserve"> </w:t>
      </w:r>
      <w:proofErr w:type="spellStart"/>
      <w:r w:rsidRPr="00DD59F4">
        <w:rPr>
          <w:sz w:val="18"/>
          <w:szCs w:val="18"/>
        </w:rPr>
        <w:t>to</w:t>
      </w:r>
      <w:proofErr w:type="spellEnd"/>
      <w:r w:rsidRPr="00DD59F4">
        <w:rPr>
          <w:sz w:val="18"/>
          <w:szCs w:val="18"/>
        </w:rPr>
        <w:t xml:space="preserve"> </w:t>
      </w:r>
      <w:proofErr w:type="spellStart"/>
      <w:r w:rsidRPr="00DD59F4">
        <w:rPr>
          <w:sz w:val="18"/>
          <w:szCs w:val="18"/>
        </w:rPr>
        <w:t>hospital</w:t>
      </w:r>
      <w:proofErr w:type="spellEnd"/>
      <w:r w:rsidRPr="00DD59F4">
        <w:rPr>
          <w:sz w:val="18"/>
          <w:szCs w:val="18"/>
        </w:rPr>
        <w:t>. BMJ 2013; 346: f3186</w:t>
      </w:r>
      <w:r w:rsidRPr="0039409A">
        <w:rPr>
          <w:sz w:val="18"/>
          <w:szCs w:val="18"/>
        </w:rPr>
        <w:t xml:space="preserve"> </w:t>
      </w:r>
    </w:p>
    <w:p w:rsidR="007225B4" w:rsidRDefault="007225B4" w:rsidP="007225B4">
      <w:pPr>
        <w:pStyle w:val="DipnotMetni"/>
      </w:pPr>
    </w:p>
  </w:footnote>
  <w:footnote w:id="12">
    <w:p w:rsidR="007225B4" w:rsidRPr="00E02E65" w:rsidRDefault="007225B4" w:rsidP="007225B4">
      <w:pPr>
        <w:jc w:val="both"/>
        <w:rPr>
          <w:sz w:val="18"/>
          <w:szCs w:val="18"/>
        </w:rPr>
      </w:pPr>
      <w:r>
        <w:rPr>
          <w:rStyle w:val="DipnotBavurusu"/>
        </w:rPr>
        <w:footnoteRef/>
      </w:r>
      <w:r>
        <w:t xml:space="preserve"> </w:t>
      </w:r>
      <w:proofErr w:type="gramStart"/>
      <w:r w:rsidRPr="00E02E65">
        <w:rPr>
          <w:sz w:val="18"/>
          <w:szCs w:val="18"/>
        </w:rPr>
        <w:t xml:space="preserve">Sağlık Bakanlığı, yazılı Bakanlık açıklaması. </w:t>
      </w:r>
      <w:proofErr w:type="gramEnd"/>
      <w:r w:rsidRPr="00E02E65">
        <w:rPr>
          <w:sz w:val="18"/>
          <w:szCs w:val="18"/>
        </w:rPr>
        <w:t xml:space="preserve">Güney Londra USH Vakfı. </w:t>
      </w:r>
      <w:r w:rsidRPr="00E02E65">
        <w:rPr>
          <w:i/>
          <w:sz w:val="18"/>
          <w:szCs w:val="18"/>
        </w:rPr>
        <w:t>Temmuz</w:t>
      </w:r>
      <w:r>
        <w:rPr>
          <w:sz w:val="18"/>
          <w:szCs w:val="18"/>
        </w:rPr>
        <w:t xml:space="preserve"> 12, 2012 </w:t>
      </w:r>
    </w:p>
  </w:footnote>
  <w:footnote w:id="13">
    <w:p w:rsidR="007225B4" w:rsidRPr="008063BA" w:rsidRDefault="007225B4" w:rsidP="007225B4">
      <w:pPr>
        <w:jc w:val="both"/>
        <w:rPr>
          <w:sz w:val="18"/>
          <w:szCs w:val="18"/>
        </w:rPr>
      </w:pPr>
      <w:r>
        <w:rPr>
          <w:rStyle w:val="DipnotBavurusu"/>
        </w:rPr>
        <w:footnoteRef/>
      </w:r>
      <w:r>
        <w:t xml:space="preserve"> </w:t>
      </w:r>
      <w:proofErr w:type="spellStart"/>
      <w:r w:rsidRPr="00E02E65">
        <w:rPr>
          <w:sz w:val="18"/>
          <w:szCs w:val="18"/>
        </w:rPr>
        <w:t>Lansley</w:t>
      </w:r>
      <w:proofErr w:type="spellEnd"/>
      <w:r w:rsidRPr="00E02E65">
        <w:rPr>
          <w:sz w:val="18"/>
          <w:szCs w:val="18"/>
        </w:rPr>
        <w:t xml:space="preserve"> A. Güney Londra Sağlık Hizmetleri Vakfı yöneticilerine mektup. </w:t>
      </w:r>
      <w:r w:rsidRPr="00E02E65">
        <w:rPr>
          <w:i/>
          <w:sz w:val="18"/>
          <w:szCs w:val="18"/>
        </w:rPr>
        <w:t>Temmuz</w:t>
      </w:r>
      <w:r>
        <w:rPr>
          <w:sz w:val="18"/>
          <w:szCs w:val="18"/>
        </w:rPr>
        <w:t xml:space="preserve"> 2, 2012 </w:t>
      </w:r>
    </w:p>
  </w:footnote>
  <w:footnote w:id="14">
    <w:p w:rsidR="007225B4" w:rsidRPr="008063BA" w:rsidRDefault="007225B4" w:rsidP="007225B4">
      <w:pPr>
        <w:jc w:val="both"/>
        <w:rPr>
          <w:sz w:val="18"/>
          <w:szCs w:val="18"/>
        </w:rPr>
      </w:pPr>
      <w:r>
        <w:rPr>
          <w:rStyle w:val="DipnotBavurusu"/>
        </w:rPr>
        <w:footnoteRef/>
      </w:r>
      <w:r>
        <w:t xml:space="preserve"> </w:t>
      </w:r>
      <w:r>
        <w:rPr>
          <w:sz w:val="18"/>
          <w:szCs w:val="18"/>
        </w:rPr>
        <w:t xml:space="preserve">Bakanlık açıklaması, yönetici özeti, paragraf 6; ayrıca bakınız paragraf 53 ve 54 </w:t>
      </w:r>
    </w:p>
  </w:footnote>
  <w:footnote w:id="15">
    <w:p w:rsidR="007225B4" w:rsidRPr="00976C79" w:rsidRDefault="007225B4" w:rsidP="007225B4">
      <w:pPr>
        <w:jc w:val="both"/>
        <w:rPr>
          <w:sz w:val="18"/>
          <w:szCs w:val="18"/>
        </w:rPr>
      </w:pPr>
      <w:r>
        <w:rPr>
          <w:rStyle w:val="DipnotBavurusu"/>
        </w:rPr>
        <w:footnoteRef/>
      </w:r>
      <w:r w:rsidRPr="00E02E65">
        <w:rPr>
          <w:sz w:val="18"/>
          <w:szCs w:val="18"/>
        </w:rPr>
        <w:t xml:space="preserve">Güney Londra USH Vakfı, </w:t>
      </w:r>
      <w:r>
        <w:rPr>
          <w:sz w:val="18"/>
          <w:szCs w:val="18"/>
        </w:rPr>
        <w:t xml:space="preserve">Vakıf Özel İdaresi – sürdürülebilir USH sağlanması, Kasım 2012 </w:t>
      </w:r>
      <w:r>
        <w:t xml:space="preserve"> </w:t>
      </w:r>
    </w:p>
  </w:footnote>
  <w:footnote w:id="16">
    <w:p w:rsidR="007225B4" w:rsidRPr="00E02E65" w:rsidRDefault="007225B4" w:rsidP="007225B4">
      <w:pPr>
        <w:jc w:val="both"/>
        <w:rPr>
          <w:sz w:val="18"/>
          <w:szCs w:val="18"/>
        </w:rPr>
      </w:pPr>
      <w:r>
        <w:rPr>
          <w:rStyle w:val="DipnotBavurusu"/>
        </w:rPr>
        <w:footnoteRef/>
      </w:r>
      <w:r>
        <w:t xml:space="preserve"> </w:t>
      </w:r>
      <w:proofErr w:type="spellStart"/>
      <w:r w:rsidRPr="00E02E65">
        <w:rPr>
          <w:sz w:val="18"/>
          <w:szCs w:val="18"/>
        </w:rPr>
        <w:t>GLSHV</w:t>
      </w:r>
      <w:r>
        <w:rPr>
          <w:sz w:val="18"/>
          <w:szCs w:val="18"/>
        </w:rPr>
        <w:t>’nin</w:t>
      </w:r>
      <w:proofErr w:type="spellEnd"/>
      <w:r>
        <w:rPr>
          <w:sz w:val="18"/>
          <w:szCs w:val="18"/>
        </w:rPr>
        <w:t>, üç ana hastane yerleşkesinde (</w:t>
      </w:r>
      <w:proofErr w:type="spellStart"/>
      <w:r>
        <w:rPr>
          <w:sz w:val="18"/>
          <w:szCs w:val="18"/>
        </w:rPr>
        <w:t>Queen</w:t>
      </w:r>
      <w:proofErr w:type="spellEnd"/>
      <w:r>
        <w:rPr>
          <w:sz w:val="18"/>
          <w:szCs w:val="18"/>
        </w:rPr>
        <w:t xml:space="preserve"> Elizabeth Hastanesi</w:t>
      </w:r>
      <w:r w:rsidRPr="00E02E65">
        <w:rPr>
          <w:sz w:val="18"/>
          <w:szCs w:val="18"/>
        </w:rPr>
        <w:t xml:space="preserve"> – QEH, </w:t>
      </w:r>
      <w:proofErr w:type="spellStart"/>
      <w:r w:rsidRPr="00E02E65">
        <w:rPr>
          <w:sz w:val="18"/>
          <w:szCs w:val="18"/>
        </w:rPr>
        <w:t>Princess</w:t>
      </w:r>
      <w:proofErr w:type="spellEnd"/>
      <w:r w:rsidRPr="00E02E65">
        <w:rPr>
          <w:sz w:val="18"/>
          <w:szCs w:val="18"/>
        </w:rPr>
        <w:t xml:space="preserve"> </w:t>
      </w:r>
      <w:proofErr w:type="spellStart"/>
      <w:r w:rsidRPr="00E02E65">
        <w:rPr>
          <w:sz w:val="18"/>
          <w:szCs w:val="18"/>
        </w:rPr>
        <w:t>Royal</w:t>
      </w:r>
      <w:proofErr w:type="spellEnd"/>
      <w:r w:rsidRPr="00E02E65">
        <w:rPr>
          <w:sz w:val="18"/>
          <w:szCs w:val="18"/>
        </w:rPr>
        <w:t xml:space="preserve"> </w:t>
      </w:r>
      <w:r>
        <w:rPr>
          <w:sz w:val="18"/>
          <w:szCs w:val="18"/>
        </w:rPr>
        <w:t>Üniversite Hastanesi</w:t>
      </w:r>
      <w:r w:rsidRPr="00E02E65">
        <w:rPr>
          <w:sz w:val="18"/>
          <w:szCs w:val="18"/>
        </w:rPr>
        <w:t xml:space="preserve"> – PRUH, </w:t>
      </w:r>
      <w:proofErr w:type="spellStart"/>
      <w:r w:rsidRPr="00E02E65">
        <w:rPr>
          <w:sz w:val="18"/>
          <w:szCs w:val="18"/>
        </w:rPr>
        <w:t>Queen</w:t>
      </w:r>
      <w:proofErr w:type="spellEnd"/>
      <w:r w:rsidRPr="00E02E65">
        <w:rPr>
          <w:sz w:val="18"/>
          <w:szCs w:val="18"/>
        </w:rPr>
        <w:t xml:space="preserve"> </w:t>
      </w:r>
      <w:proofErr w:type="spellStart"/>
      <w:r w:rsidRPr="00E02E65">
        <w:rPr>
          <w:sz w:val="18"/>
          <w:szCs w:val="18"/>
        </w:rPr>
        <w:t>Mary’s</w:t>
      </w:r>
      <w:proofErr w:type="spellEnd"/>
      <w:r w:rsidRPr="00E02E65">
        <w:rPr>
          <w:sz w:val="18"/>
          <w:szCs w:val="18"/>
        </w:rPr>
        <w:t xml:space="preserve"> </w:t>
      </w:r>
      <w:proofErr w:type="spellStart"/>
      <w:r w:rsidRPr="00E02E65">
        <w:rPr>
          <w:sz w:val="18"/>
          <w:szCs w:val="18"/>
        </w:rPr>
        <w:t>Sidcup</w:t>
      </w:r>
      <w:proofErr w:type="spellEnd"/>
      <w:r>
        <w:rPr>
          <w:sz w:val="18"/>
          <w:szCs w:val="18"/>
        </w:rPr>
        <w:t xml:space="preserve"> Hastanesi</w:t>
      </w:r>
      <w:r w:rsidRPr="00E02E65">
        <w:rPr>
          <w:sz w:val="18"/>
          <w:szCs w:val="18"/>
        </w:rPr>
        <w:t xml:space="preserve"> – QMS)</w:t>
      </w:r>
      <w:r>
        <w:rPr>
          <w:sz w:val="18"/>
          <w:szCs w:val="18"/>
        </w:rPr>
        <w:t xml:space="preserve"> toplam altı </w:t>
      </w:r>
      <w:r w:rsidR="005A0B3B">
        <w:rPr>
          <w:sz w:val="18"/>
          <w:szCs w:val="18"/>
        </w:rPr>
        <w:t>KÖO</w:t>
      </w:r>
      <w:r w:rsidRPr="00E02E65">
        <w:rPr>
          <w:sz w:val="18"/>
          <w:szCs w:val="18"/>
        </w:rPr>
        <w:t xml:space="preserve"> </w:t>
      </w:r>
      <w:r>
        <w:rPr>
          <w:sz w:val="18"/>
          <w:szCs w:val="18"/>
        </w:rPr>
        <w:t xml:space="preserve">sözleşmesi bulunmaktadır. Bu sözleşmelerden ikisi, </w:t>
      </w:r>
      <w:proofErr w:type="spellStart"/>
      <w:r>
        <w:rPr>
          <w:sz w:val="18"/>
          <w:szCs w:val="18"/>
        </w:rPr>
        <w:t>Greenwich’teki</w:t>
      </w:r>
      <w:proofErr w:type="spellEnd"/>
      <w:r>
        <w:rPr>
          <w:sz w:val="18"/>
          <w:szCs w:val="18"/>
        </w:rPr>
        <w:t xml:space="preserve"> </w:t>
      </w:r>
      <w:proofErr w:type="spellStart"/>
      <w:r>
        <w:rPr>
          <w:sz w:val="18"/>
          <w:szCs w:val="18"/>
        </w:rPr>
        <w:t>Bromley</w:t>
      </w:r>
      <w:proofErr w:type="spellEnd"/>
      <w:r>
        <w:rPr>
          <w:sz w:val="18"/>
          <w:szCs w:val="18"/>
        </w:rPr>
        <w:t xml:space="preserve"> ve </w:t>
      </w:r>
      <w:proofErr w:type="spellStart"/>
      <w:r>
        <w:rPr>
          <w:sz w:val="18"/>
          <w:szCs w:val="18"/>
        </w:rPr>
        <w:t>QEH’de</w:t>
      </w:r>
      <w:proofErr w:type="spellEnd"/>
      <w:r>
        <w:rPr>
          <w:sz w:val="18"/>
          <w:szCs w:val="18"/>
        </w:rPr>
        <w:t xml:space="preserve"> </w:t>
      </w:r>
      <w:proofErr w:type="spellStart"/>
      <w:r>
        <w:rPr>
          <w:sz w:val="18"/>
          <w:szCs w:val="18"/>
        </w:rPr>
        <w:t>PRUH’un</w:t>
      </w:r>
      <w:proofErr w:type="spellEnd"/>
      <w:r>
        <w:rPr>
          <w:sz w:val="18"/>
          <w:szCs w:val="18"/>
        </w:rPr>
        <w:t xml:space="preserve"> geliştirilmesi için kullanılmaktadır. Diğer dördü ise daha küçük çaplı sözleşmelerdir ve hastane binalarındaki donanımın ve diğer hizmetlerin yürütülmesine yöneliktir. </w:t>
      </w:r>
    </w:p>
    <w:p w:rsidR="007225B4" w:rsidRDefault="007225B4" w:rsidP="007225B4">
      <w:pPr>
        <w:pStyle w:val="DipnotMetni"/>
      </w:pPr>
    </w:p>
  </w:footnote>
  <w:footnote w:id="17">
    <w:p w:rsidR="007225B4" w:rsidRPr="00087A39" w:rsidRDefault="007225B4" w:rsidP="007225B4">
      <w:pPr>
        <w:jc w:val="both"/>
        <w:rPr>
          <w:sz w:val="18"/>
          <w:szCs w:val="18"/>
        </w:rPr>
      </w:pPr>
      <w:r>
        <w:rPr>
          <w:rStyle w:val="DipnotBavurusu"/>
        </w:rPr>
        <w:footnoteRef/>
      </w:r>
      <w:proofErr w:type="spellStart"/>
      <w:r w:rsidRPr="00E02E65">
        <w:rPr>
          <w:sz w:val="18"/>
          <w:szCs w:val="18"/>
        </w:rPr>
        <w:t>Allyson</w:t>
      </w:r>
      <w:proofErr w:type="spellEnd"/>
      <w:r w:rsidRPr="00E02E65">
        <w:rPr>
          <w:sz w:val="18"/>
          <w:szCs w:val="18"/>
        </w:rPr>
        <w:t xml:space="preserve"> M </w:t>
      </w:r>
      <w:proofErr w:type="spellStart"/>
      <w:r w:rsidRPr="00E02E65">
        <w:rPr>
          <w:sz w:val="18"/>
          <w:szCs w:val="18"/>
        </w:rPr>
        <w:t>Pollock</w:t>
      </w:r>
      <w:proofErr w:type="spellEnd"/>
      <w:r w:rsidRPr="00E02E65">
        <w:rPr>
          <w:sz w:val="18"/>
          <w:szCs w:val="18"/>
        </w:rPr>
        <w:t xml:space="preserve">, Jean </w:t>
      </w:r>
      <w:proofErr w:type="spellStart"/>
      <w:r w:rsidRPr="00E02E65">
        <w:rPr>
          <w:sz w:val="18"/>
          <w:szCs w:val="18"/>
        </w:rPr>
        <w:t>Shaoul</w:t>
      </w:r>
      <w:proofErr w:type="spellEnd"/>
      <w:r w:rsidRPr="00E02E65">
        <w:rPr>
          <w:sz w:val="18"/>
          <w:szCs w:val="18"/>
        </w:rPr>
        <w:t xml:space="preserve">, </w:t>
      </w:r>
      <w:proofErr w:type="spellStart"/>
      <w:r w:rsidRPr="00E02E65">
        <w:rPr>
          <w:sz w:val="18"/>
          <w:szCs w:val="18"/>
        </w:rPr>
        <w:t>Neil</w:t>
      </w:r>
      <w:proofErr w:type="spellEnd"/>
      <w:r w:rsidRPr="00E02E65">
        <w:rPr>
          <w:sz w:val="18"/>
          <w:szCs w:val="18"/>
        </w:rPr>
        <w:t xml:space="preserve"> </w:t>
      </w:r>
      <w:proofErr w:type="spellStart"/>
      <w:r w:rsidRPr="00E02E65">
        <w:rPr>
          <w:sz w:val="18"/>
          <w:szCs w:val="18"/>
        </w:rPr>
        <w:t>Vickers</w:t>
      </w:r>
      <w:proofErr w:type="spellEnd"/>
      <w:r w:rsidRPr="00E02E65">
        <w:rPr>
          <w:sz w:val="18"/>
          <w:szCs w:val="18"/>
        </w:rPr>
        <w:t xml:space="preserve">. </w:t>
      </w:r>
      <w:proofErr w:type="spellStart"/>
      <w:r w:rsidRPr="00E02E65">
        <w:rPr>
          <w:sz w:val="18"/>
          <w:szCs w:val="18"/>
        </w:rPr>
        <w:t>Private</w:t>
      </w:r>
      <w:proofErr w:type="spellEnd"/>
      <w:r w:rsidRPr="00E02E65">
        <w:rPr>
          <w:sz w:val="18"/>
          <w:szCs w:val="18"/>
        </w:rPr>
        <w:t xml:space="preserve"> </w:t>
      </w:r>
      <w:proofErr w:type="spellStart"/>
      <w:r w:rsidRPr="00E02E65">
        <w:rPr>
          <w:sz w:val="18"/>
          <w:szCs w:val="18"/>
        </w:rPr>
        <w:t>finance</w:t>
      </w:r>
      <w:proofErr w:type="spellEnd"/>
      <w:r w:rsidRPr="00E02E65">
        <w:rPr>
          <w:sz w:val="18"/>
          <w:szCs w:val="18"/>
        </w:rPr>
        <w:t xml:space="preserve"> </w:t>
      </w:r>
      <w:proofErr w:type="spellStart"/>
      <w:r w:rsidRPr="00E02E65">
        <w:rPr>
          <w:sz w:val="18"/>
          <w:szCs w:val="18"/>
        </w:rPr>
        <w:t>and</w:t>
      </w:r>
      <w:proofErr w:type="spellEnd"/>
      <w:r w:rsidRPr="00E02E65">
        <w:rPr>
          <w:sz w:val="18"/>
          <w:szCs w:val="18"/>
        </w:rPr>
        <w:t xml:space="preserve"> “</w:t>
      </w:r>
      <w:proofErr w:type="spellStart"/>
      <w:r w:rsidRPr="00E02E65">
        <w:rPr>
          <w:sz w:val="18"/>
          <w:szCs w:val="18"/>
        </w:rPr>
        <w:t>value</w:t>
      </w:r>
      <w:proofErr w:type="spellEnd"/>
      <w:r w:rsidRPr="00E02E65">
        <w:rPr>
          <w:sz w:val="18"/>
          <w:szCs w:val="18"/>
        </w:rPr>
        <w:t xml:space="preserve"> </w:t>
      </w:r>
      <w:proofErr w:type="spellStart"/>
      <w:r w:rsidRPr="00E02E65">
        <w:rPr>
          <w:sz w:val="18"/>
          <w:szCs w:val="18"/>
        </w:rPr>
        <w:t>for</w:t>
      </w:r>
      <w:proofErr w:type="spellEnd"/>
      <w:r w:rsidRPr="00E02E65">
        <w:rPr>
          <w:sz w:val="18"/>
          <w:szCs w:val="18"/>
        </w:rPr>
        <w:t xml:space="preserve"> </w:t>
      </w:r>
      <w:proofErr w:type="spellStart"/>
      <w:r w:rsidRPr="00E02E65">
        <w:rPr>
          <w:sz w:val="18"/>
          <w:szCs w:val="18"/>
        </w:rPr>
        <w:t>money</w:t>
      </w:r>
      <w:proofErr w:type="spellEnd"/>
      <w:r w:rsidRPr="00E02E65">
        <w:rPr>
          <w:sz w:val="18"/>
          <w:szCs w:val="18"/>
        </w:rPr>
        <w:t xml:space="preserve">” in USH </w:t>
      </w:r>
      <w:proofErr w:type="spellStart"/>
      <w:r w:rsidRPr="00E02E65">
        <w:rPr>
          <w:sz w:val="18"/>
          <w:szCs w:val="18"/>
        </w:rPr>
        <w:t>hospitals</w:t>
      </w:r>
      <w:proofErr w:type="spellEnd"/>
      <w:r w:rsidRPr="00E02E65">
        <w:rPr>
          <w:sz w:val="18"/>
          <w:szCs w:val="18"/>
        </w:rPr>
        <w:t xml:space="preserve">: a </w:t>
      </w:r>
      <w:proofErr w:type="spellStart"/>
      <w:r w:rsidRPr="00E02E65">
        <w:rPr>
          <w:sz w:val="18"/>
          <w:szCs w:val="18"/>
        </w:rPr>
        <w:t>policy</w:t>
      </w:r>
      <w:proofErr w:type="spellEnd"/>
      <w:r w:rsidRPr="00E02E65">
        <w:rPr>
          <w:sz w:val="18"/>
          <w:szCs w:val="18"/>
        </w:rPr>
        <w:t xml:space="preserve"> in </w:t>
      </w:r>
      <w:proofErr w:type="spellStart"/>
      <w:r w:rsidRPr="00E02E65">
        <w:rPr>
          <w:sz w:val="18"/>
          <w:szCs w:val="18"/>
        </w:rPr>
        <w:t>search</w:t>
      </w:r>
      <w:proofErr w:type="spellEnd"/>
      <w:r w:rsidRPr="00E02E65">
        <w:rPr>
          <w:sz w:val="18"/>
          <w:szCs w:val="18"/>
        </w:rPr>
        <w:t xml:space="preserve"> of a </w:t>
      </w:r>
      <w:proofErr w:type="spellStart"/>
      <w:r w:rsidRPr="00E02E65">
        <w:rPr>
          <w:sz w:val="18"/>
          <w:szCs w:val="18"/>
        </w:rPr>
        <w:t>r</w:t>
      </w:r>
      <w:r>
        <w:rPr>
          <w:sz w:val="18"/>
          <w:szCs w:val="18"/>
        </w:rPr>
        <w:t>ationale</w:t>
      </w:r>
      <w:proofErr w:type="spellEnd"/>
      <w:r>
        <w:rPr>
          <w:sz w:val="18"/>
          <w:szCs w:val="18"/>
        </w:rPr>
        <w:t xml:space="preserve">? BMJ 2002; 324:1205–9 </w:t>
      </w:r>
    </w:p>
  </w:footnote>
  <w:footnote w:id="18">
    <w:p w:rsidR="007225B4" w:rsidRPr="00DD11F0" w:rsidRDefault="007225B4" w:rsidP="007225B4">
      <w:pPr>
        <w:jc w:val="both"/>
        <w:rPr>
          <w:sz w:val="18"/>
          <w:szCs w:val="18"/>
        </w:rPr>
      </w:pPr>
      <w:r>
        <w:rPr>
          <w:rStyle w:val="DipnotBavurusu"/>
        </w:rPr>
        <w:footnoteRef/>
      </w:r>
      <w:r>
        <w:t xml:space="preserve"> </w:t>
      </w:r>
      <w:proofErr w:type="spellStart"/>
      <w:r w:rsidRPr="00DD11F0">
        <w:rPr>
          <w:sz w:val="18"/>
          <w:szCs w:val="18"/>
        </w:rPr>
        <w:t>Allyson</w:t>
      </w:r>
      <w:proofErr w:type="spellEnd"/>
      <w:r w:rsidRPr="00DD11F0">
        <w:rPr>
          <w:sz w:val="18"/>
          <w:szCs w:val="18"/>
        </w:rPr>
        <w:t xml:space="preserve"> M </w:t>
      </w:r>
      <w:proofErr w:type="spellStart"/>
      <w:r w:rsidRPr="00DD11F0">
        <w:rPr>
          <w:sz w:val="18"/>
          <w:szCs w:val="18"/>
        </w:rPr>
        <w:t>Pollock</w:t>
      </w:r>
      <w:proofErr w:type="spellEnd"/>
      <w:r w:rsidRPr="00DD11F0">
        <w:rPr>
          <w:sz w:val="18"/>
          <w:szCs w:val="18"/>
        </w:rPr>
        <w:t xml:space="preserve">, David </w:t>
      </w:r>
      <w:proofErr w:type="spellStart"/>
      <w:r w:rsidRPr="00DD11F0">
        <w:rPr>
          <w:sz w:val="18"/>
          <w:szCs w:val="18"/>
        </w:rPr>
        <w:t>Price</w:t>
      </w:r>
      <w:proofErr w:type="spellEnd"/>
      <w:r w:rsidRPr="00DD11F0">
        <w:rPr>
          <w:sz w:val="18"/>
          <w:szCs w:val="18"/>
        </w:rPr>
        <w:t xml:space="preserve">, </w:t>
      </w:r>
      <w:proofErr w:type="spellStart"/>
      <w:r w:rsidRPr="00DD11F0">
        <w:rPr>
          <w:sz w:val="18"/>
          <w:szCs w:val="18"/>
        </w:rPr>
        <w:t>Moritz</w:t>
      </w:r>
      <w:proofErr w:type="spellEnd"/>
      <w:r w:rsidRPr="00DD11F0">
        <w:rPr>
          <w:sz w:val="18"/>
          <w:szCs w:val="18"/>
        </w:rPr>
        <w:t xml:space="preserve"> </w:t>
      </w:r>
      <w:proofErr w:type="spellStart"/>
      <w:r w:rsidRPr="00DD11F0">
        <w:rPr>
          <w:sz w:val="18"/>
          <w:szCs w:val="18"/>
        </w:rPr>
        <w:t>Liebe</w:t>
      </w:r>
      <w:proofErr w:type="spellEnd"/>
      <w:r w:rsidRPr="00DD11F0">
        <w:rPr>
          <w:sz w:val="18"/>
          <w:szCs w:val="18"/>
        </w:rPr>
        <w:t xml:space="preserve">. </w:t>
      </w:r>
      <w:proofErr w:type="spellStart"/>
      <w:r w:rsidRPr="00DD11F0">
        <w:rPr>
          <w:sz w:val="18"/>
          <w:szCs w:val="18"/>
        </w:rPr>
        <w:t>Private</w:t>
      </w:r>
      <w:proofErr w:type="spellEnd"/>
      <w:r w:rsidRPr="00DD11F0">
        <w:rPr>
          <w:sz w:val="18"/>
          <w:szCs w:val="18"/>
        </w:rPr>
        <w:t xml:space="preserve"> </w:t>
      </w:r>
      <w:proofErr w:type="spellStart"/>
      <w:r w:rsidRPr="00DD11F0">
        <w:rPr>
          <w:sz w:val="18"/>
          <w:szCs w:val="18"/>
        </w:rPr>
        <w:t>finance</w:t>
      </w:r>
      <w:proofErr w:type="spellEnd"/>
      <w:r w:rsidRPr="00DD11F0">
        <w:rPr>
          <w:sz w:val="18"/>
          <w:szCs w:val="18"/>
        </w:rPr>
        <w:t xml:space="preserve"> </w:t>
      </w:r>
      <w:proofErr w:type="spellStart"/>
      <w:r w:rsidRPr="00DD11F0">
        <w:rPr>
          <w:sz w:val="18"/>
          <w:szCs w:val="18"/>
        </w:rPr>
        <w:t>initiatives</w:t>
      </w:r>
      <w:proofErr w:type="spellEnd"/>
      <w:r w:rsidRPr="00DD11F0">
        <w:rPr>
          <w:sz w:val="18"/>
          <w:szCs w:val="18"/>
        </w:rPr>
        <w:t xml:space="preserve"> </w:t>
      </w:r>
      <w:proofErr w:type="spellStart"/>
      <w:r w:rsidRPr="00DD11F0">
        <w:rPr>
          <w:sz w:val="18"/>
          <w:szCs w:val="18"/>
        </w:rPr>
        <w:t>during</w:t>
      </w:r>
      <w:proofErr w:type="spellEnd"/>
      <w:r w:rsidRPr="00DD11F0">
        <w:rPr>
          <w:sz w:val="18"/>
          <w:szCs w:val="18"/>
        </w:rPr>
        <w:t xml:space="preserve"> USH </w:t>
      </w:r>
      <w:proofErr w:type="spellStart"/>
      <w:r w:rsidRPr="00DD11F0">
        <w:rPr>
          <w:sz w:val="18"/>
          <w:szCs w:val="18"/>
        </w:rPr>
        <w:t>austerity</w:t>
      </w:r>
      <w:proofErr w:type="spellEnd"/>
      <w:r w:rsidRPr="00DD11F0">
        <w:rPr>
          <w:sz w:val="18"/>
          <w:szCs w:val="18"/>
        </w:rPr>
        <w:t xml:space="preserve">. BMJ 2011;342:d324 </w:t>
      </w:r>
    </w:p>
    <w:p w:rsidR="007225B4" w:rsidRDefault="007225B4" w:rsidP="007225B4">
      <w:pPr>
        <w:pStyle w:val="DipnotMetni"/>
      </w:pPr>
    </w:p>
  </w:footnote>
  <w:footnote w:id="19">
    <w:p w:rsidR="007225B4" w:rsidRPr="003A090F" w:rsidRDefault="007225B4" w:rsidP="007225B4">
      <w:pPr>
        <w:jc w:val="both"/>
        <w:rPr>
          <w:sz w:val="18"/>
          <w:szCs w:val="18"/>
        </w:rPr>
      </w:pPr>
      <w:r>
        <w:rPr>
          <w:rStyle w:val="DipnotBavurusu"/>
        </w:rPr>
        <w:footnoteRef/>
      </w:r>
      <w:proofErr w:type="spellStart"/>
      <w:r w:rsidRPr="003A090F">
        <w:rPr>
          <w:sz w:val="18"/>
          <w:szCs w:val="18"/>
        </w:rPr>
        <w:t>Nigel</w:t>
      </w:r>
      <w:proofErr w:type="spellEnd"/>
      <w:r w:rsidRPr="003A090F">
        <w:rPr>
          <w:sz w:val="18"/>
          <w:szCs w:val="18"/>
        </w:rPr>
        <w:t xml:space="preserve"> </w:t>
      </w:r>
      <w:proofErr w:type="spellStart"/>
      <w:r w:rsidRPr="003A090F">
        <w:rPr>
          <w:sz w:val="18"/>
          <w:szCs w:val="18"/>
        </w:rPr>
        <w:t>Hawkes</w:t>
      </w:r>
      <w:proofErr w:type="spellEnd"/>
      <w:r w:rsidRPr="003A090F">
        <w:rPr>
          <w:sz w:val="18"/>
          <w:szCs w:val="18"/>
        </w:rPr>
        <w:t>, '</w:t>
      </w:r>
      <w:proofErr w:type="spellStart"/>
      <w:r w:rsidRPr="003A090F">
        <w:rPr>
          <w:sz w:val="18"/>
          <w:szCs w:val="18"/>
        </w:rPr>
        <w:t>Only</w:t>
      </w:r>
      <w:proofErr w:type="spellEnd"/>
      <w:r w:rsidRPr="003A090F">
        <w:rPr>
          <w:sz w:val="18"/>
          <w:szCs w:val="18"/>
        </w:rPr>
        <w:t xml:space="preserve"> a </w:t>
      </w:r>
      <w:proofErr w:type="spellStart"/>
      <w:r w:rsidRPr="003A090F">
        <w:rPr>
          <w:sz w:val="18"/>
          <w:szCs w:val="18"/>
        </w:rPr>
        <w:t>fifth</w:t>
      </w:r>
      <w:proofErr w:type="spellEnd"/>
      <w:r w:rsidRPr="003A090F">
        <w:rPr>
          <w:sz w:val="18"/>
          <w:szCs w:val="18"/>
        </w:rPr>
        <w:t xml:space="preserve"> of £1.7bn USH </w:t>
      </w:r>
      <w:proofErr w:type="spellStart"/>
      <w:r w:rsidRPr="003A090F">
        <w:rPr>
          <w:sz w:val="18"/>
          <w:szCs w:val="18"/>
        </w:rPr>
        <w:t>underspend</w:t>
      </w:r>
      <w:proofErr w:type="spellEnd"/>
      <w:r w:rsidRPr="003A090F">
        <w:rPr>
          <w:sz w:val="18"/>
          <w:szCs w:val="18"/>
        </w:rPr>
        <w:t xml:space="preserve"> </w:t>
      </w:r>
      <w:proofErr w:type="spellStart"/>
      <w:r w:rsidRPr="003A090F">
        <w:rPr>
          <w:sz w:val="18"/>
          <w:szCs w:val="18"/>
        </w:rPr>
        <w:t>will</w:t>
      </w:r>
      <w:proofErr w:type="spellEnd"/>
      <w:r w:rsidRPr="003A090F">
        <w:rPr>
          <w:sz w:val="18"/>
          <w:szCs w:val="18"/>
        </w:rPr>
        <w:t xml:space="preserve"> be </w:t>
      </w:r>
      <w:proofErr w:type="spellStart"/>
      <w:r w:rsidRPr="003A090F">
        <w:rPr>
          <w:sz w:val="18"/>
          <w:szCs w:val="18"/>
        </w:rPr>
        <w:t>carried</w:t>
      </w:r>
      <w:proofErr w:type="spellEnd"/>
      <w:r w:rsidRPr="003A090F">
        <w:rPr>
          <w:sz w:val="18"/>
          <w:szCs w:val="18"/>
        </w:rPr>
        <w:t xml:space="preserve"> </w:t>
      </w:r>
      <w:proofErr w:type="spellStart"/>
      <w:r w:rsidRPr="003A090F">
        <w:rPr>
          <w:sz w:val="18"/>
          <w:szCs w:val="18"/>
        </w:rPr>
        <w:t>into</w:t>
      </w:r>
      <w:proofErr w:type="spellEnd"/>
      <w:r w:rsidRPr="003A090F">
        <w:rPr>
          <w:sz w:val="18"/>
          <w:szCs w:val="18"/>
        </w:rPr>
        <w:t xml:space="preserve"> </w:t>
      </w:r>
      <w:proofErr w:type="spellStart"/>
      <w:r w:rsidRPr="003A090F">
        <w:rPr>
          <w:sz w:val="18"/>
          <w:szCs w:val="18"/>
        </w:rPr>
        <w:t>next</w:t>
      </w:r>
      <w:proofErr w:type="spellEnd"/>
      <w:r w:rsidRPr="003A090F">
        <w:rPr>
          <w:sz w:val="18"/>
          <w:szCs w:val="18"/>
        </w:rPr>
        <w:t xml:space="preserve"> </w:t>
      </w:r>
      <w:proofErr w:type="spellStart"/>
      <w:r w:rsidRPr="003A090F">
        <w:rPr>
          <w:sz w:val="18"/>
          <w:szCs w:val="18"/>
        </w:rPr>
        <w:t>year's</w:t>
      </w:r>
      <w:proofErr w:type="spellEnd"/>
      <w:r w:rsidRPr="003A090F">
        <w:rPr>
          <w:sz w:val="18"/>
          <w:szCs w:val="18"/>
        </w:rPr>
        <w:t xml:space="preserve"> </w:t>
      </w:r>
      <w:proofErr w:type="spellStart"/>
      <w:r w:rsidRPr="003A090F">
        <w:rPr>
          <w:sz w:val="18"/>
          <w:szCs w:val="18"/>
        </w:rPr>
        <w:t>budget</w:t>
      </w:r>
      <w:proofErr w:type="spellEnd"/>
      <w:r w:rsidRPr="003A090F">
        <w:rPr>
          <w:sz w:val="18"/>
          <w:szCs w:val="18"/>
        </w:rPr>
        <w:t xml:space="preserve">', British </w:t>
      </w:r>
      <w:proofErr w:type="spellStart"/>
      <w:r w:rsidRPr="003A090F">
        <w:rPr>
          <w:sz w:val="18"/>
          <w:szCs w:val="18"/>
        </w:rPr>
        <w:t>Medical</w:t>
      </w:r>
      <w:proofErr w:type="spellEnd"/>
      <w:r w:rsidRPr="003A090F">
        <w:rPr>
          <w:sz w:val="18"/>
          <w:szCs w:val="18"/>
        </w:rPr>
        <w:t xml:space="preserve"> </w:t>
      </w:r>
      <w:proofErr w:type="spellStart"/>
      <w:r w:rsidRPr="003A090F">
        <w:rPr>
          <w:sz w:val="18"/>
          <w:szCs w:val="18"/>
        </w:rPr>
        <w:t>Journal</w:t>
      </w:r>
      <w:proofErr w:type="spellEnd"/>
      <w:r w:rsidRPr="003A090F">
        <w:rPr>
          <w:sz w:val="18"/>
          <w:szCs w:val="18"/>
        </w:rPr>
        <w:t xml:space="preserve">, 10 </w:t>
      </w:r>
      <w:r w:rsidRPr="003A090F">
        <w:rPr>
          <w:i/>
          <w:sz w:val="18"/>
          <w:szCs w:val="18"/>
        </w:rPr>
        <w:t>Temmuz</w:t>
      </w:r>
      <w:r w:rsidRPr="003A090F">
        <w:rPr>
          <w:sz w:val="18"/>
          <w:szCs w:val="18"/>
        </w:rPr>
        <w:t xml:space="preserve"> 2012.</w:t>
      </w:r>
      <w:r>
        <w:rPr>
          <w:sz w:val="18"/>
          <w:szCs w:val="18"/>
        </w:rPr>
        <w:t xml:space="preserve"> </w:t>
      </w:r>
      <w:r>
        <w:t xml:space="preserve"> </w:t>
      </w:r>
    </w:p>
  </w:footnote>
  <w:footnote w:id="20">
    <w:p w:rsidR="007225B4" w:rsidRPr="00DB5F4F" w:rsidRDefault="007225B4" w:rsidP="007225B4">
      <w:pPr>
        <w:jc w:val="both"/>
        <w:rPr>
          <w:sz w:val="18"/>
          <w:szCs w:val="18"/>
        </w:rPr>
      </w:pPr>
      <w:r>
        <w:rPr>
          <w:rStyle w:val="DipnotBavurusu"/>
        </w:rPr>
        <w:footnoteRef/>
      </w:r>
      <w:proofErr w:type="gramStart"/>
      <w:r w:rsidRPr="00DD11F0">
        <w:rPr>
          <w:sz w:val="18"/>
          <w:szCs w:val="18"/>
        </w:rPr>
        <w:t xml:space="preserve">Avam Kamarası </w:t>
      </w:r>
      <w:r>
        <w:rPr>
          <w:sz w:val="18"/>
          <w:szCs w:val="18"/>
        </w:rPr>
        <w:t xml:space="preserve">Sağlık Komitesi. </w:t>
      </w:r>
      <w:proofErr w:type="gramEnd"/>
      <w:r>
        <w:rPr>
          <w:sz w:val="18"/>
          <w:szCs w:val="18"/>
        </w:rPr>
        <w:t xml:space="preserve">Sağlık ve bakım hizmetlerine yönelik kamu harcamaları, 12 Mart 2013. </w:t>
      </w:r>
    </w:p>
  </w:footnote>
  <w:footnote w:id="21">
    <w:p w:rsidR="007225B4" w:rsidRPr="004039AA" w:rsidRDefault="007225B4" w:rsidP="007225B4">
      <w:pPr>
        <w:jc w:val="both"/>
        <w:rPr>
          <w:sz w:val="18"/>
          <w:szCs w:val="18"/>
        </w:rPr>
      </w:pPr>
      <w:r>
        <w:rPr>
          <w:rStyle w:val="DipnotBavurusu"/>
        </w:rPr>
        <w:footnoteRef/>
      </w:r>
      <w:r w:rsidRPr="003A090F">
        <w:rPr>
          <w:sz w:val="18"/>
          <w:szCs w:val="18"/>
        </w:rPr>
        <w:t xml:space="preserve">21 Güney Londra USH Vakfı. </w:t>
      </w:r>
      <w:r>
        <w:rPr>
          <w:sz w:val="18"/>
          <w:szCs w:val="18"/>
        </w:rPr>
        <w:t>Rejimin sürdürülemez USH sunucularına uygulanma gerekçesi</w:t>
      </w:r>
      <w:r w:rsidRPr="003A090F">
        <w:rPr>
          <w:sz w:val="18"/>
          <w:szCs w:val="18"/>
        </w:rPr>
        <w:t xml:space="preserve">. </w:t>
      </w:r>
      <w:r w:rsidRPr="003A090F">
        <w:rPr>
          <w:i/>
          <w:sz w:val="18"/>
          <w:szCs w:val="18"/>
        </w:rPr>
        <w:t>Temmuz</w:t>
      </w:r>
      <w:r>
        <w:rPr>
          <w:sz w:val="18"/>
          <w:szCs w:val="18"/>
        </w:rPr>
        <w:t>, 2012 -</w:t>
      </w:r>
    </w:p>
  </w:footnote>
  <w:footnote w:id="22">
    <w:p w:rsidR="007225B4" w:rsidRPr="00525136" w:rsidRDefault="007225B4" w:rsidP="007225B4">
      <w:pPr>
        <w:jc w:val="both"/>
        <w:rPr>
          <w:sz w:val="18"/>
          <w:szCs w:val="18"/>
        </w:rPr>
      </w:pPr>
      <w:r>
        <w:rPr>
          <w:rStyle w:val="DipnotBavurusu"/>
        </w:rPr>
        <w:footnoteRef/>
      </w:r>
      <w:proofErr w:type="gramStart"/>
      <w:r w:rsidRPr="00525136">
        <w:rPr>
          <w:sz w:val="18"/>
          <w:szCs w:val="18"/>
        </w:rPr>
        <w:t xml:space="preserve">Avam Kamarası Kamu Hesapları Komitesi. </w:t>
      </w:r>
      <w:proofErr w:type="gramEnd"/>
      <w:r w:rsidRPr="00525136">
        <w:rPr>
          <w:sz w:val="18"/>
          <w:szCs w:val="18"/>
        </w:rPr>
        <w:t>Sağlık Bakanlığı</w:t>
      </w:r>
      <w:r>
        <w:rPr>
          <w:sz w:val="18"/>
          <w:szCs w:val="18"/>
        </w:rPr>
        <w:t xml:space="preserve">, </w:t>
      </w:r>
      <w:proofErr w:type="spellStart"/>
      <w:r w:rsidRPr="00525136">
        <w:rPr>
          <w:sz w:val="18"/>
          <w:szCs w:val="18"/>
        </w:rPr>
        <w:t>USH’nin</w:t>
      </w:r>
      <w:proofErr w:type="spellEnd"/>
      <w:r w:rsidRPr="00525136">
        <w:rPr>
          <w:sz w:val="18"/>
          <w:szCs w:val="18"/>
        </w:rPr>
        <w:t xml:space="preserve"> gelecekteki sürdürülebilirliğinin sağlanması, Oturumun on altıncı raporu 2012–13, 22 Ekim 2012. </w:t>
      </w:r>
    </w:p>
    <w:p w:rsidR="007225B4" w:rsidRDefault="007225B4" w:rsidP="007225B4">
      <w:pPr>
        <w:pStyle w:val="DipnotMetni"/>
      </w:pPr>
      <w:r>
        <w:t xml:space="preserve"> </w:t>
      </w:r>
    </w:p>
  </w:footnote>
  <w:footnote w:id="23">
    <w:p w:rsidR="007225B4" w:rsidRPr="00D8597D" w:rsidRDefault="007225B4" w:rsidP="007225B4">
      <w:pPr>
        <w:jc w:val="both"/>
        <w:rPr>
          <w:sz w:val="18"/>
          <w:szCs w:val="18"/>
        </w:rPr>
      </w:pPr>
      <w:r>
        <w:rPr>
          <w:rStyle w:val="DipnotBavurusu"/>
        </w:rPr>
        <w:footnoteRef/>
      </w:r>
      <w:proofErr w:type="spellStart"/>
      <w:r>
        <w:rPr>
          <w:sz w:val="18"/>
          <w:szCs w:val="18"/>
        </w:rPr>
        <w:t>Palmer</w:t>
      </w:r>
      <w:proofErr w:type="spellEnd"/>
      <w:r>
        <w:rPr>
          <w:sz w:val="18"/>
          <w:szCs w:val="18"/>
        </w:rPr>
        <w:t xml:space="preserve"> K. Hastane hizmetlerinin yeniden yapılandırılması. </w:t>
      </w:r>
      <w:proofErr w:type="gramStart"/>
      <w:r w:rsidRPr="00D8597D">
        <w:rPr>
          <w:sz w:val="18"/>
          <w:szCs w:val="18"/>
        </w:rPr>
        <w:t>Güneydoğu</w:t>
      </w:r>
      <w:r>
        <w:rPr>
          <w:sz w:val="18"/>
          <w:szCs w:val="18"/>
        </w:rPr>
        <w:t xml:space="preserve"> </w:t>
      </w:r>
      <w:r w:rsidRPr="00D8597D">
        <w:rPr>
          <w:sz w:val="18"/>
          <w:szCs w:val="18"/>
        </w:rPr>
        <w:t>Londra</w:t>
      </w:r>
      <w:r>
        <w:rPr>
          <w:sz w:val="18"/>
          <w:szCs w:val="18"/>
        </w:rPr>
        <w:t xml:space="preserve"> dersleri</w:t>
      </w:r>
      <w:r w:rsidRPr="00D8597D">
        <w:rPr>
          <w:sz w:val="18"/>
          <w:szCs w:val="18"/>
        </w:rPr>
        <w:t xml:space="preserve">. </w:t>
      </w:r>
      <w:proofErr w:type="gramEnd"/>
      <w:r>
        <w:rPr>
          <w:sz w:val="18"/>
          <w:szCs w:val="18"/>
        </w:rPr>
        <w:t>BK</w:t>
      </w:r>
      <w:r w:rsidRPr="00D8597D">
        <w:rPr>
          <w:sz w:val="18"/>
          <w:szCs w:val="18"/>
        </w:rPr>
        <w:t xml:space="preserve">: </w:t>
      </w:r>
      <w:proofErr w:type="spellStart"/>
      <w:r w:rsidRPr="00D8597D">
        <w:rPr>
          <w:sz w:val="18"/>
          <w:szCs w:val="18"/>
        </w:rPr>
        <w:t>King’s</w:t>
      </w:r>
      <w:proofErr w:type="spellEnd"/>
      <w:r w:rsidRPr="00D8597D">
        <w:rPr>
          <w:sz w:val="18"/>
          <w:szCs w:val="18"/>
        </w:rPr>
        <w:t xml:space="preserve"> </w:t>
      </w:r>
      <w:proofErr w:type="spellStart"/>
      <w:r w:rsidRPr="00D8597D">
        <w:rPr>
          <w:sz w:val="18"/>
          <w:szCs w:val="18"/>
        </w:rPr>
        <w:t>Fund</w:t>
      </w:r>
      <w:proofErr w:type="spellEnd"/>
      <w:r w:rsidRPr="00D8597D">
        <w:rPr>
          <w:sz w:val="18"/>
          <w:szCs w:val="18"/>
        </w:rPr>
        <w:t xml:space="preserve"> 2011 </w:t>
      </w:r>
    </w:p>
    <w:p w:rsidR="007225B4" w:rsidRDefault="007225B4" w:rsidP="007225B4">
      <w:pPr>
        <w:pStyle w:val="DipnotMetni"/>
      </w:pPr>
      <w:r>
        <w:t xml:space="preserve"> </w:t>
      </w:r>
    </w:p>
  </w:footnote>
  <w:footnote w:id="24">
    <w:p w:rsidR="007225B4" w:rsidRPr="000210E9" w:rsidRDefault="007225B4" w:rsidP="007225B4">
      <w:pPr>
        <w:jc w:val="both"/>
        <w:rPr>
          <w:sz w:val="18"/>
          <w:szCs w:val="18"/>
        </w:rPr>
      </w:pPr>
      <w:r>
        <w:rPr>
          <w:rStyle w:val="DipnotBavurusu"/>
        </w:rPr>
        <w:footnoteRef/>
      </w:r>
      <w:r>
        <w:t xml:space="preserve"> </w:t>
      </w:r>
      <w:proofErr w:type="spellStart"/>
      <w:r w:rsidRPr="005706E9">
        <w:rPr>
          <w:sz w:val="18"/>
          <w:szCs w:val="18"/>
        </w:rPr>
        <w:t>Mid</w:t>
      </w:r>
      <w:proofErr w:type="spellEnd"/>
      <w:r w:rsidRPr="005706E9">
        <w:rPr>
          <w:sz w:val="18"/>
          <w:szCs w:val="18"/>
        </w:rPr>
        <w:t xml:space="preserve"> </w:t>
      </w:r>
      <w:proofErr w:type="spellStart"/>
      <w:r w:rsidRPr="005706E9">
        <w:rPr>
          <w:sz w:val="18"/>
          <w:szCs w:val="18"/>
        </w:rPr>
        <w:t>Staffordshire</w:t>
      </w:r>
      <w:proofErr w:type="spellEnd"/>
      <w:r w:rsidRPr="005706E9">
        <w:rPr>
          <w:sz w:val="18"/>
          <w:szCs w:val="18"/>
        </w:rPr>
        <w:t xml:space="preserve"> USH </w:t>
      </w:r>
      <w:r>
        <w:rPr>
          <w:sz w:val="18"/>
          <w:szCs w:val="18"/>
        </w:rPr>
        <w:t xml:space="preserve">Vakfı Kamu Araştırması Raporu. </w:t>
      </w:r>
      <w:r w:rsidRPr="005706E9">
        <w:rPr>
          <w:sz w:val="18"/>
          <w:szCs w:val="18"/>
        </w:rPr>
        <w:t xml:space="preserve">Yönetici özeti. </w:t>
      </w:r>
      <w:proofErr w:type="spellStart"/>
      <w:r w:rsidRPr="005706E9">
        <w:rPr>
          <w:sz w:val="18"/>
          <w:szCs w:val="18"/>
        </w:rPr>
        <w:t>Stationery</w:t>
      </w:r>
      <w:proofErr w:type="spellEnd"/>
      <w:r w:rsidRPr="005706E9">
        <w:rPr>
          <w:sz w:val="18"/>
          <w:szCs w:val="18"/>
        </w:rPr>
        <w:t xml:space="preserve"> Office, 2013:</w:t>
      </w:r>
      <w:r>
        <w:rPr>
          <w:sz w:val="18"/>
          <w:szCs w:val="18"/>
        </w:rPr>
        <w:t xml:space="preserve"> 42. </w:t>
      </w:r>
    </w:p>
  </w:footnote>
  <w:footnote w:id="25">
    <w:p w:rsidR="007225B4" w:rsidRPr="005B0E9E" w:rsidRDefault="007225B4" w:rsidP="007225B4">
      <w:pPr>
        <w:jc w:val="both"/>
        <w:rPr>
          <w:sz w:val="18"/>
          <w:szCs w:val="18"/>
        </w:rPr>
      </w:pPr>
      <w:r>
        <w:rPr>
          <w:rStyle w:val="DipnotBavurusu"/>
        </w:rPr>
        <w:footnoteRef/>
      </w:r>
      <w:proofErr w:type="spellStart"/>
      <w:r>
        <w:rPr>
          <w:sz w:val="18"/>
          <w:szCs w:val="18"/>
        </w:rPr>
        <w:t>Ibid</w:t>
      </w:r>
      <w:proofErr w:type="spellEnd"/>
      <w:r>
        <w:rPr>
          <w:sz w:val="18"/>
          <w:szCs w:val="18"/>
        </w:rPr>
        <w:t xml:space="preserve">. </w:t>
      </w:r>
    </w:p>
  </w:footnote>
  <w:footnote w:id="26">
    <w:p w:rsidR="007225B4" w:rsidRPr="005706E9" w:rsidRDefault="007225B4" w:rsidP="007225B4">
      <w:pPr>
        <w:jc w:val="both"/>
        <w:rPr>
          <w:sz w:val="18"/>
          <w:szCs w:val="18"/>
        </w:rPr>
      </w:pPr>
      <w:r>
        <w:rPr>
          <w:rStyle w:val="DipnotBavurusu"/>
        </w:rPr>
        <w:footnoteRef/>
      </w:r>
      <w:r w:rsidRPr="005706E9">
        <w:rPr>
          <w:sz w:val="18"/>
          <w:szCs w:val="18"/>
        </w:rPr>
        <w:t xml:space="preserve">Lewisham USH Vakfı </w:t>
      </w:r>
      <w:r>
        <w:rPr>
          <w:sz w:val="18"/>
          <w:szCs w:val="18"/>
        </w:rPr>
        <w:t xml:space="preserve">Heyeti. Güney Londra Sağlık Hizmetleri Vakıf Özel İdaresi’nin “sürdürülebilir USH sağlanması” raporuna yanıt. Aralık 12, </w:t>
      </w:r>
      <w:r w:rsidRPr="005706E9">
        <w:rPr>
          <w:sz w:val="18"/>
          <w:szCs w:val="18"/>
        </w:rPr>
        <w:t xml:space="preserve">2012 </w:t>
      </w:r>
    </w:p>
    <w:p w:rsidR="007225B4" w:rsidRDefault="007225B4" w:rsidP="007225B4">
      <w:pPr>
        <w:pStyle w:val="DipnotMetni"/>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B4" w:rsidRPr="00AB5D74" w:rsidRDefault="007225B4">
    <w:pPr>
      <w:pStyle w:val="stbilgi"/>
      <w:jc w:val="right"/>
      <w:rPr>
        <w:sz w:val="28"/>
        <w:szCs w:val="28"/>
      </w:rPr>
    </w:pPr>
    <w:r>
      <w:rPr>
        <w:noProof/>
        <w:lang w:val="tr-TR" w:eastAsia="tr-TR"/>
      </w:rPr>
      <mc:AlternateContent>
        <mc:Choice Requires="wps">
          <w:drawing>
            <wp:anchor distT="0" distB="0" distL="114300" distR="114300" simplePos="0" relativeHeight="251660288" behindDoc="0" locked="0" layoutInCell="1" allowOverlap="1" wp14:anchorId="23CBEBB3" wp14:editId="611DF563">
              <wp:simplePos x="0" y="0"/>
              <wp:positionH relativeFrom="column">
                <wp:posOffset>-893445</wp:posOffset>
              </wp:positionH>
              <wp:positionV relativeFrom="paragraph">
                <wp:posOffset>-758825</wp:posOffset>
              </wp:positionV>
              <wp:extent cx="3636645" cy="517525"/>
              <wp:effectExtent l="0" t="0" r="0" b="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517525"/>
                      </a:xfrm>
                      <a:prstGeom prst="rect">
                        <a:avLst/>
                      </a:prstGeom>
                      <a:noFill/>
                      <a:ln w="9525">
                        <a:noFill/>
                        <a:miter lim="800000"/>
                        <a:headEnd/>
                        <a:tailEnd/>
                      </a:ln>
                    </wps:spPr>
                    <wps:txbx>
                      <w:txbxContent>
                        <w:p w:rsidR="007225B4" w:rsidRPr="00DD0DF4" w:rsidRDefault="007225B4" w:rsidP="007225B4">
                          <w:pPr>
                            <w:jc w:val="right"/>
                            <w:rPr>
                              <w:b/>
                              <w:color w:val="FFFFFF"/>
                              <w:sz w:val="52"/>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3" o:spid="_x0000_s1026" type="#_x0000_t202" style="position:absolute;left:0;text-align:left;margin-left:-70.35pt;margin-top:-59.75pt;width:286.35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" filled="f" stroked="f">
              <v:textbox>
                <w:txbxContent>
                  <w:p w:rsidR="007225B4" w:rsidRPr="00DD0DF4" w:rsidRDefault="007225B4" w:rsidP="007225B4">
                    <w:pPr>
                      <w:jc w:val="right"/>
                      <w:rPr>
                        <w:b/>
                        <w:color w:val="FFFFFF"/>
                        <w:sz w:val="52"/>
                        <w:szCs w:val="28"/>
                        <w:lang w:val="en-US"/>
                      </w:rPr>
                    </w:pPr>
                  </w:p>
                </w:txbxContent>
              </v:textbox>
            </v:shape>
          </w:pict>
        </mc:Fallback>
      </mc:AlternateContent>
    </w:r>
    <w:r>
      <w:rPr>
        <w:noProof/>
        <w:lang w:val="tr-TR" w:eastAsia="tr-TR"/>
      </w:rPr>
      <mc:AlternateContent>
        <mc:Choice Requires="wps">
          <w:drawing>
            <wp:anchor distT="0" distB="0" distL="114300" distR="114300" simplePos="0" relativeHeight="251659264" behindDoc="0" locked="0" layoutInCell="1" allowOverlap="1" wp14:anchorId="555BBC1E" wp14:editId="3B4CACFB">
              <wp:simplePos x="0" y="0"/>
              <wp:positionH relativeFrom="column">
                <wp:posOffset>3926840</wp:posOffset>
              </wp:positionH>
              <wp:positionV relativeFrom="paragraph">
                <wp:posOffset>-705485</wp:posOffset>
              </wp:positionV>
              <wp:extent cx="2565400" cy="395605"/>
              <wp:effectExtent l="0" t="0" r="0" b="444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395605"/>
                      </a:xfrm>
                      <a:prstGeom prst="rect">
                        <a:avLst/>
                      </a:prstGeom>
                      <a:noFill/>
                      <a:ln w="9525">
                        <a:noFill/>
                        <a:miter lim="800000"/>
                        <a:headEnd/>
                        <a:tailEnd/>
                      </a:ln>
                    </wps:spPr>
                    <wps:txbx>
                      <w:txbxContent>
                        <w:p w:rsidR="007225B4" w:rsidRPr="00BD2813" w:rsidRDefault="007225B4" w:rsidP="007225B4">
                          <w:pPr>
                            <w:rPr>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9" o:spid="_x0000_s1027" type="#_x0000_t202" style="position:absolute;left:0;text-align:left;margin-left:309.2pt;margin-top:-55.55pt;width:202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" filled="f" stroked="f">
              <v:textbox>
                <w:txbxContent>
                  <w:p w:rsidR="007225B4" w:rsidRPr="00BD2813" w:rsidRDefault="007225B4" w:rsidP="007225B4">
                    <w:pPr>
                      <w:rPr>
                        <w:szCs w:val="2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BD14565_"/>
      </v:shape>
    </w:pict>
  </w:numPicBullet>
  <w:abstractNum w:abstractNumId="0">
    <w:nsid w:val="051F1563"/>
    <w:multiLevelType w:val="hybridMultilevel"/>
    <w:tmpl w:val="A536A6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362757"/>
    <w:multiLevelType w:val="hybridMultilevel"/>
    <w:tmpl w:val="F39681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912207"/>
    <w:multiLevelType w:val="hybridMultilevel"/>
    <w:tmpl w:val="415CE28A"/>
    <w:lvl w:ilvl="0" w:tplc="7E9A3E78">
      <w:start w:val="1"/>
      <w:numFmt w:val="bullet"/>
      <w:pStyle w:val="ListeMaddemi2"/>
      <w:lvlText w:val=""/>
      <w:lvlJc w:val="left"/>
      <w:pPr>
        <w:tabs>
          <w:tab w:val="num" w:pos="919"/>
        </w:tabs>
        <w:ind w:left="919" w:hanging="559"/>
      </w:pPr>
      <w:rPr>
        <w:rFonts w:ascii="Wingdings" w:hAnsi="Wingdings" w:hint="default"/>
        <w:color w:val="0043A2"/>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DD90FED"/>
    <w:multiLevelType w:val="hybridMultilevel"/>
    <w:tmpl w:val="6436C0A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F7E309C"/>
    <w:multiLevelType w:val="hybridMultilevel"/>
    <w:tmpl w:val="3C4A7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1280B0C"/>
    <w:multiLevelType w:val="hybridMultilevel"/>
    <w:tmpl w:val="04406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13A2B1B"/>
    <w:multiLevelType w:val="hybridMultilevel"/>
    <w:tmpl w:val="A33A73CE"/>
    <w:lvl w:ilvl="0" w:tplc="1562BB52">
      <w:start w:val="1"/>
      <w:numFmt w:val="bullet"/>
      <w:pStyle w:val="ListeMaddemi"/>
      <w:lvlText w:val=""/>
      <w:lvlPicBulletId w:val="0"/>
      <w:lvlJc w:val="left"/>
      <w:pPr>
        <w:tabs>
          <w:tab w:val="num" w:pos="720"/>
        </w:tabs>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9954651"/>
    <w:multiLevelType w:val="hybridMultilevel"/>
    <w:tmpl w:val="C36A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00E2B9A"/>
    <w:multiLevelType w:val="hybridMultilevel"/>
    <w:tmpl w:val="F0127B8C"/>
    <w:lvl w:ilvl="0" w:tplc="1D1C12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5B44206"/>
    <w:multiLevelType w:val="hybridMultilevel"/>
    <w:tmpl w:val="1EBEC3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
  </w:num>
  <w:num w:numId="5">
    <w:abstractNumId w:val="4"/>
  </w:num>
  <w:num w:numId="6">
    <w:abstractNumId w:val="9"/>
  </w:num>
  <w:num w:numId="7">
    <w:abstractNumId w:val="0"/>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B4"/>
    <w:rsid w:val="00111914"/>
    <w:rsid w:val="00435141"/>
    <w:rsid w:val="004C5839"/>
    <w:rsid w:val="005A0B3B"/>
    <w:rsid w:val="0060695D"/>
    <w:rsid w:val="006251C4"/>
    <w:rsid w:val="007225B4"/>
    <w:rsid w:val="009D5B41"/>
    <w:rsid w:val="00C15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225B4"/>
    <w:pPr>
      <w:spacing w:after="0" w:line="240" w:lineRule="auto"/>
      <w:jc w:val="center"/>
      <w:outlineLvl w:val="0"/>
    </w:pPr>
    <w:rPr>
      <w:rFonts w:ascii="Helvetica" w:eastAsia="SimSun" w:hAnsi="Helvetica" w:cs="Times New Roman"/>
      <w:b/>
      <w:color w:val="333399"/>
      <w:sz w:val="28"/>
      <w:szCs w:val="28"/>
      <w:lang w:eastAsia="zh-CN"/>
    </w:rPr>
  </w:style>
  <w:style w:type="paragraph" w:styleId="Balk2">
    <w:name w:val="heading 2"/>
    <w:basedOn w:val="Normal"/>
    <w:next w:val="Normal"/>
    <w:link w:val="Balk2Char"/>
    <w:uiPriority w:val="9"/>
    <w:qFormat/>
    <w:rsid w:val="007225B4"/>
    <w:pPr>
      <w:spacing w:after="0" w:line="240" w:lineRule="auto"/>
      <w:jc w:val="center"/>
      <w:outlineLvl w:val="1"/>
    </w:pPr>
    <w:rPr>
      <w:rFonts w:ascii="Helvetica" w:eastAsia="SimSun" w:hAnsi="Helvetica" w:cs="Times New Roman"/>
      <w:b/>
      <w:bCs/>
      <w:i/>
      <w:iCs/>
      <w:color w:val="333399"/>
      <w:sz w:val="20"/>
      <w:szCs w:val="20"/>
      <w:lang w:eastAsia="zh-CN"/>
    </w:rPr>
  </w:style>
  <w:style w:type="paragraph" w:styleId="Balk3">
    <w:name w:val="heading 3"/>
    <w:basedOn w:val="Normal"/>
    <w:next w:val="Normal"/>
    <w:link w:val="Balk3Char"/>
    <w:uiPriority w:val="9"/>
    <w:qFormat/>
    <w:rsid w:val="007225B4"/>
    <w:pPr>
      <w:spacing w:before="240" w:after="0" w:line="240" w:lineRule="auto"/>
      <w:outlineLvl w:val="2"/>
    </w:pPr>
    <w:rPr>
      <w:rFonts w:ascii="Helvetica" w:eastAsia="SimSun" w:hAnsi="Helvetica" w:cs="Times New Roman"/>
      <w:b/>
      <w:bCs/>
      <w:color w:val="333399"/>
      <w:sz w:val="20"/>
      <w:szCs w:val="20"/>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25B4"/>
    <w:rPr>
      <w:rFonts w:ascii="Helvetica" w:eastAsia="SimSun" w:hAnsi="Helvetica" w:cs="Times New Roman"/>
      <w:b/>
      <w:color w:val="333399"/>
      <w:sz w:val="28"/>
      <w:szCs w:val="28"/>
      <w:lang w:eastAsia="zh-CN"/>
    </w:rPr>
  </w:style>
  <w:style w:type="character" w:customStyle="1" w:styleId="Balk2Char">
    <w:name w:val="Başlık 2 Char"/>
    <w:basedOn w:val="VarsaylanParagrafYazTipi"/>
    <w:link w:val="Balk2"/>
    <w:uiPriority w:val="9"/>
    <w:rsid w:val="007225B4"/>
    <w:rPr>
      <w:rFonts w:ascii="Helvetica" w:eastAsia="SimSun" w:hAnsi="Helvetica" w:cs="Times New Roman"/>
      <w:b/>
      <w:bCs/>
      <w:i/>
      <w:iCs/>
      <w:color w:val="333399"/>
      <w:sz w:val="20"/>
      <w:szCs w:val="20"/>
      <w:lang w:eastAsia="zh-CN"/>
    </w:rPr>
  </w:style>
  <w:style w:type="character" w:customStyle="1" w:styleId="Balk3Char">
    <w:name w:val="Başlık 3 Char"/>
    <w:basedOn w:val="VarsaylanParagrafYazTipi"/>
    <w:link w:val="Balk3"/>
    <w:uiPriority w:val="9"/>
    <w:rsid w:val="007225B4"/>
    <w:rPr>
      <w:rFonts w:ascii="Helvetica" w:eastAsia="SimSun" w:hAnsi="Helvetica" w:cs="Times New Roman"/>
      <w:b/>
      <w:bCs/>
      <w:color w:val="333399"/>
      <w:sz w:val="20"/>
      <w:szCs w:val="20"/>
      <w:lang w:eastAsia="zh-CN"/>
    </w:rPr>
  </w:style>
  <w:style w:type="numbering" w:customStyle="1" w:styleId="ListeYok1">
    <w:name w:val="Liste Yok1"/>
    <w:next w:val="ListeYok"/>
    <w:uiPriority w:val="99"/>
    <w:semiHidden/>
    <w:unhideWhenUsed/>
    <w:rsid w:val="007225B4"/>
  </w:style>
  <w:style w:type="paragraph" w:styleId="ListeParagraf">
    <w:name w:val="List Paragraph"/>
    <w:basedOn w:val="Normal"/>
    <w:link w:val="ListeParagrafChar"/>
    <w:uiPriority w:val="34"/>
    <w:qFormat/>
    <w:rsid w:val="007225B4"/>
    <w:pPr>
      <w:ind w:left="720"/>
      <w:contextualSpacing/>
    </w:pPr>
    <w:rPr>
      <w:rFonts w:ascii="Calibri" w:eastAsia="Times New Roman" w:hAnsi="Calibri" w:cs="Times New Roman"/>
      <w:lang w:eastAsia="tr-TR"/>
    </w:rPr>
  </w:style>
  <w:style w:type="character" w:styleId="Gl">
    <w:name w:val="Strong"/>
    <w:basedOn w:val="VarsaylanParagrafYazTipi"/>
    <w:uiPriority w:val="22"/>
    <w:qFormat/>
    <w:rsid w:val="007225B4"/>
    <w:rPr>
      <w:b/>
      <w:bCs/>
    </w:rPr>
  </w:style>
  <w:style w:type="paragraph" w:styleId="NormalWeb">
    <w:name w:val="Normal (Web)"/>
    <w:basedOn w:val="Normal"/>
    <w:link w:val="NormalWebChar"/>
    <w:uiPriority w:val="99"/>
    <w:unhideWhenUsed/>
    <w:rsid w:val="007225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rsid w:val="007225B4"/>
    <w:rPr>
      <w:color w:val="0000FF"/>
      <w:u w:val="single"/>
    </w:rPr>
  </w:style>
  <w:style w:type="paragraph" w:styleId="stbilgi">
    <w:name w:val="header"/>
    <w:basedOn w:val="Normal"/>
    <w:link w:val="stbilgiChar"/>
    <w:uiPriority w:val="99"/>
    <w:unhideWhenUsed/>
    <w:rsid w:val="007225B4"/>
    <w:pPr>
      <w:tabs>
        <w:tab w:val="center" w:pos="4536"/>
        <w:tab w:val="right" w:pos="9072"/>
      </w:tabs>
      <w:spacing w:after="0" w:line="240" w:lineRule="auto"/>
    </w:pPr>
    <w:rPr>
      <w:rFonts w:ascii="Calibri" w:eastAsia="Times New Roman" w:hAnsi="Calibri" w:cs="Times New Roman"/>
      <w:lang w:val="fr-FR"/>
    </w:rPr>
  </w:style>
  <w:style w:type="character" w:customStyle="1" w:styleId="stbilgiChar">
    <w:name w:val="Üstbilgi Char"/>
    <w:basedOn w:val="VarsaylanParagrafYazTipi"/>
    <w:link w:val="stbilgi"/>
    <w:uiPriority w:val="99"/>
    <w:rsid w:val="007225B4"/>
    <w:rPr>
      <w:rFonts w:ascii="Calibri" w:eastAsia="Times New Roman" w:hAnsi="Calibri" w:cs="Times New Roman"/>
      <w:lang w:val="fr-FR"/>
    </w:rPr>
  </w:style>
  <w:style w:type="paragraph" w:styleId="Altbilgi">
    <w:name w:val="footer"/>
    <w:basedOn w:val="Normal"/>
    <w:link w:val="AltbilgiChar"/>
    <w:uiPriority w:val="99"/>
    <w:unhideWhenUsed/>
    <w:rsid w:val="007225B4"/>
    <w:pPr>
      <w:tabs>
        <w:tab w:val="center" w:pos="4536"/>
        <w:tab w:val="right" w:pos="9072"/>
      </w:tabs>
      <w:spacing w:after="0" w:line="240" w:lineRule="auto"/>
    </w:pPr>
    <w:rPr>
      <w:rFonts w:ascii="Calibri" w:eastAsia="Times New Roman" w:hAnsi="Calibri" w:cs="Times New Roman"/>
      <w:lang w:val="fr-FR"/>
    </w:rPr>
  </w:style>
  <w:style w:type="character" w:customStyle="1" w:styleId="AltbilgiChar">
    <w:name w:val="Altbilgi Char"/>
    <w:basedOn w:val="VarsaylanParagrafYazTipi"/>
    <w:link w:val="Altbilgi"/>
    <w:uiPriority w:val="99"/>
    <w:rsid w:val="007225B4"/>
    <w:rPr>
      <w:rFonts w:ascii="Calibri" w:eastAsia="Times New Roman" w:hAnsi="Calibri" w:cs="Times New Roman"/>
      <w:lang w:val="fr-FR"/>
    </w:rPr>
  </w:style>
  <w:style w:type="paragraph" w:customStyle="1" w:styleId="ListeParagraf1">
    <w:name w:val="Liste Paragraf1"/>
    <w:basedOn w:val="Normal"/>
    <w:qFormat/>
    <w:rsid w:val="007225B4"/>
    <w:pPr>
      <w:ind w:left="720"/>
      <w:contextualSpacing/>
    </w:pPr>
    <w:rPr>
      <w:rFonts w:ascii="Calibri" w:eastAsia="Times New Roman" w:hAnsi="Calibri" w:cs="Times New Roman"/>
      <w:lang w:val="fr-FR"/>
    </w:rPr>
  </w:style>
  <w:style w:type="character" w:styleId="zlenenKpr">
    <w:name w:val="FollowedHyperlink"/>
    <w:basedOn w:val="VarsaylanParagrafYazTipi"/>
    <w:uiPriority w:val="99"/>
    <w:semiHidden/>
    <w:unhideWhenUsed/>
    <w:rsid w:val="007225B4"/>
    <w:rPr>
      <w:color w:val="800080"/>
      <w:u w:val="single"/>
    </w:rPr>
  </w:style>
  <w:style w:type="paragraph" w:styleId="DipnotMetni">
    <w:name w:val="footnote text"/>
    <w:basedOn w:val="Normal"/>
    <w:link w:val="DipnotMetniChar1"/>
    <w:semiHidden/>
    <w:unhideWhenUsed/>
    <w:rsid w:val="007225B4"/>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semiHidden/>
    <w:rsid w:val="007225B4"/>
    <w:rPr>
      <w:sz w:val="20"/>
      <w:szCs w:val="20"/>
    </w:rPr>
  </w:style>
  <w:style w:type="paragraph" w:styleId="AklamaMetni">
    <w:name w:val="annotation text"/>
    <w:basedOn w:val="Normal"/>
    <w:link w:val="AklamaMetniChar"/>
    <w:uiPriority w:val="99"/>
    <w:semiHidden/>
    <w:unhideWhenUsed/>
    <w:rsid w:val="007225B4"/>
    <w:rPr>
      <w:rFonts w:ascii="Arial" w:eastAsia="Calibri" w:hAnsi="Arial" w:cs="Arial"/>
      <w:sz w:val="20"/>
      <w:szCs w:val="20"/>
    </w:rPr>
  </w:style>
  <w:style w:type="character" w:customStyle="1" w:styleId="AklamaMetniChar">
    <w:name w:val="Açıklama Metni Char"/>
    <w:basedOn w:val="VarsaylanParagrafYazTipi"/>
    <w:link w:val="AklamaMetni"/>
    <w:uiPriority w:val="99"/>
    <w:semiHidden/>
    <w:rsid w:val="007225B4"/>
    <w:rPr>
      <w:rFonts w:ascii="Arial" w:eastAsia="Calibri" w:hAnsi="Arial" w:cs="Arial"/>
      <w:sz w:val="20"/>
      <w:szCs w:val="20"/>
    </w:rPr>
  </w:style>
  <w:style w:type="paragraph" w:styleId="GvdeMetni">
    <w:name w:val="Body Text"/>
    <w:basedOn w:val="Normal"/>
    <w:link w:val="GvdeMetniChar"/>
    <w:semiHidden/>
    <w:unhideWhenUsed/>
    <w:rsid w:val="007225B4"/>
    <w:pPr>
      <w:spacing w:after="0" w:line="240" w:lineRule="auto"/>
      <w:jc w:val="both"/>
    </w:pPr>
    <w:rPr>
      <w:rFonts w:ascii="Times New Roman" w:eastAsia="Calibri" w:hAnsi="Times New Roman" w:cs="Times New Roman"/>
      <w:b/>
      <w:sz w:val="24"/>
      <w:szCs w:val="20"/>
      <w:lang w:eastAsia="tr-TR"/>
    </w:rPr>
  </w:style>
  <w:style w:type="character" w:customStyle="1" w:styleId="GvdeMetniChar">
    <w:name w:val="Gövde Metni Char"/>
    <w:basedOn w:val="VarsaylanParagrafYazTipi"/>
    <w:link w:val="GvdeMetni"/>
    <w:semiHidden/>
    <w:rsid w:val="007225B4"/>
    <w:rPr>
      <w:rFonts w:ascii="Times New Roman" w:eastAsia="Calibri" w:hAnsi="Times New Roman" w:cs="Times New Roman"/>
      <w:b/>
      <w:sz w:val="24"/>
      <w:szCs w:val="20"/>
      <w:lang w:eastAsia="tr-TR"/>
    </w:rPr>
  </w:style>
  <w:style w:type="paragraph" w:styleId="GvdeMetniGirintisi3">
    <w:name w:val="Body Text Indent 3"/>
    <w:basedOn w:val="Normal"/>
    <w:link w:val="GvdeMetniGirintisi3Char"/>
    <w:unhideWhenUsed/>
    <w:rsid w:val="007225B4"/>
    <w:pPr>
      <w:spacing w:after="120" w:line="240" w:lineRule="auto"/>
      <w:ind w:left="283"/>
    </w:pPr>
    <w:rPr>
      <w:rFonts w:ascii="Times New Roman" w:eastAsia="Calibri"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7225B4"/>
    <w:rPr>
      <w:rFonts w:ascii="Times New Roman" w:eastAsia="Calibri" w:hAnsi="Times New Roman" w:cs="Times New Roman"/>
      <w:sz w:val="16"/>
      <w:szCs w:val="16"/>
      <w:lang w:eastAsia="tr-TR"/>
    </w:rPr>
  </w:style>
  <w:style w:type="paragraph" w:styleId="BalonMetni">
    <w:name w:val="Balloon Text"/>
    <w:basedOn w:val="Normal"/>
    <w:link w:val="BalonMetniChar"/>
    <w:uiPriority w:val="99"/>
    <w:semiHidden/>
    <w:unhideWhenUsed/>
    <w:rsid w:val="007225B4"/>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7225B4"/>
    <w:rPr>
      <w:rFonts w:ascii="Tahoma" w:eastAsia="Times New Roman" w:hAnsi="Tahoma" w:cs="Tahoma"/>
      <w:sz w:val="16"/>
      <w:szCs w:val="16"/>
      <w:lang w:eastAsia="tr-TR"/>
    </w:rPr>
  </w:style>
  <w:style w:type="paragraph" w:customStyle="1" w:styleId="ListeParagraf2">
    <w:name w:val="Liste Paragraf2"/>
    <w:basedOn w:val="Normal"/>
    <w:semiHidden/>
    <w:rsid w:val="007225B4"/>
    <w:pPr>
      <w:spacing w:after="0" w:line="240" w:lineRule="auto"/>
      <w:ind w:left="720"/>
      <w:contextualSpacing/>
    </w:pPr>
    <w:rPr>
      <w:rFonts w:ascii="Times New Roman" w:eastAsia="Calibri" w:hAnsi="Times New Roman" w:cs="Times New Roman"/>
      <w:sz w:val="24"/>
      <w:szCs w:val="24"/>
      <w:lang w:eastAsia="tr-TR"/>
    </w:rPr>
  </w:style>
  <w:style w:type="character" w:styleId="DipnotBavurusu">
    <w:name w:val="footnote reference"/>
    <w:basedOn w:val="VarsaylanParagrafYazTipi"/>
    <w:semiHidden/>
    <w:unhideWhenUsed/>
    <w:rsid w:val="007225B4"/>
    <w:rPr>
      <w:vertAlign w:val="superscript"/>
    </w:rPr>
  </w:style>
  <w:style w:type="character" w:styleId="AklamaBavurusu">
    <w:name w:val="annotation reference"/>
    <w:basedOn w:val="VarsaylanParagrafYazTipi"/>
    <w:uiPriority w:val="99"/>
    <w:semiHidden/>
    <w:unhideWhenUsed/>
    <w:rsid w:val="007225B4"/>
    <w:rPr>
      <w:sz w:val="16"/>
      <w:szCs w:val="16"/>
    </w:rPr>
  </w:style>
  <w:style w:type="character" w:customStyle="1" w:styleId="msohyperlnk">
    <w:name w:val="msohyperlınk"/>
    <w:basedOn w:val="VarsaylanParagrafYazTipi"/>
    <w:rsid w:val="007225B4"/>
    <w:rPr>
      <w:rFonts w:ascii="Times New Roman" w:hAnsi="Times New Roman" w:cs="Times New Roman" w:hint="default"/>
      <w:color w:val="0000FF"/>
      <w:u w:val="single"/>
    </w:rPr>
  </w:style>
  <w:style w:type="character" w:customStyle="1" w:styleId="msohyperlnkfollowed">
    <w:name w:val="msohyperlınkfollowed"/>
    <w:basedOn w:val="VarsaylanParagrafYazTipi"/>
    <w:uiPriority w:val="99"/>
    <w:semiHidden/>
    <w:rsid w:val="007225B4"/>
    <w:rPr>
      <w:color w:val="800080"/>
      <w:u w:val="single"/>
    </w:rPr>
  </w:style>
  <w:style w:type="character" w:customStyle="1" w:styleId="DipnotMetniChar1">
    <w:name w:val="Dipnot Metni Char1"/>
    <w:basedOn w:val="VarsaylanParagrafYazTipi"/>
    <w:link w:val="DipnotMetni"/>
    <w:semiHidden/>
    <w:locked/>
    <w:rsid w:val="007225B4"/>
    <w:rPr>
      <w:rFonts w:ascii="Calibri" w:eastAsia="Calibri" w:hAnsi="Calibri" w:cs="Times New Roman"/>
      <w:sz w:val="20"/>
      <w:szCs w:val="20"/>
    </w:rPr>
  </w:style>
  <w:style w:type="character" w:customStyle="1" w:styleId="CharChar3">
    <w:name w:val="Char Char3"/>
    <w:basedOn w:val="VarsaylanParagrafYazTipi"/>
    <w:semiHidden/>
    <w:rsid w:val="007225B4"/>
    <w:rPr>
      <w:rFonts w:ascii="Arial" w:eastAsia="Calibri" w:hAnsi="Arial" w:cs="Arial" w:hint="default"/>
      <w:lang w:val="tr-TR" w:eastAsia="en-US" w:bidi="ar-SA"/>
    </w:rPr>
  </w:style>
  <w:style w:type="character" w:customStyle="1" w:styleId="CharChar">
    <w:name w:val="Char Char"/>
    <w:basedOn w:val="VarsaylanParagrafYazTipi"/>
    <w:semiHidden/>
    <w:locked/>
    <w:rsid w:val="007225B4"/>
    <w:rPr>
      <w:rFonts w:ascii="Calibri" w:eastAsia="Calibri" w:hAnsi="Calibri" w:hint="default"/>
      <w:lang w:val="tr-TR" w:eastAsia="en-US" w:bidi="ar-SA"/>
    </w:rPr>
  </w:style>
  <w:style w:type="paragraph" w:customStyle="1" w:styleId="listparagraph">
    <w:name w:val="listparagraph"/>
    <w:basedOn w:val="Normal"/>
    <w:semiHidden/>
    <w:rsid w:val="007225B4"/>
    <w:pPr>
      <w:spacing w:before="100" w:beforeAutospacing="1" w:after="100" w:afterAutospacing="1" w:line="240" w:lineRule="auto"/>
    </w:pPr>
    <w:rPr>
      <w:rFonts w:ascii="Tahoma" w:eastAsia="Times New Roman" w:hAnsi="Tahoma" w:cs="Tahoma"/>
      <w:color w:val="333333"/>
      <w:sz w:val="17"/>
      <w:szCs w:val="17"/>
      <w:lang w:eastAsia="tr-TR"/>
    </w:rPr>
  </w:style>
  <w:style w:type="character" w:customStyle="1" w:styleId="antlinkz">
    <w:name w:val="antlinkz"/>
    <w:basedOn w:val="VarsaylanParagrafYazTipi"/>
    <w:rsid w:val="007225B4"/>
  </w:style>
  <w:style w:type="paragraph" w:styleId="ListeMaddemi">
    <w:name w:val="List Bullet"/>
    <w:basedOn w:val="NormalWeb"/>
    <w:link w:val="ListeMaddemiChar"/>
    <w:rsid w:val="007225B4"/>
    <w:pPr>
      <w:numPr>
        <w:numId w:val="1"/>
      </w:numPr>
      <w:spacing w:before="120" w:beforeAutospacing="0" w:after="60" w:afterAutospacing="0"/>
    </w:pPr>
    <w:rPr>
      <w:rFonts w:ascii="Spranq eco sans" w:eastAsia="SimSun" w:hAnsi="Spranq eco sans"/>
      <w:spacing w:val="-8"/>
      <w:sz w:val="18"/>
      <w:szCs w:val="18"/>
      <w:lang w:val="en-CA" w:eastAsia="zh-CN"/>
    </w:rPr>
  </w:style>
  <w:style w:type="character" w:customStyle="1" w:styleId="ListeMaddemiChar">
    <w:name w:val="Liste Madde İmi Char"/>
    <w:link w:val="ListeMaddemi"/>
    <w:rsid w:val="007225B4"/>
    <w:rPr>
      <w:rFonts w:ascii="Spranq eco sans" w:eastAsia="SimSun" w:hAnsi="Spranq eco sans" w:cs="Times New Roman"/>
      <w:spacing w:val="-8"/>
      <w:sz w:val="18"/>
      <w:szCs w:val="18"/>
      <w:lang w:val="en-CA" w:eastAsia="zh-CN"/>
    </w:rPr>
  </w:style>
  <w:style w:type="paragraph" w:styleId="bekMetni">
    <w:name w:val="Block Text"/>
    <w:basedOn w:val="Normal"/>
    <w:rsid w:val="007225B4"/>
    <w:pPr>
      <w:spacing w:before="60" w:after="0" w:line="240" w:lineRule="auto"/>
    </w:pPr>
    <w:rPr>
      <w:rFonts w:ascii="Helvetica" w:eastAsia="SimSun" w:hAnsi="Helvetica" w:cs="Times New Roman"/>
      <w:iCs/>
      <w:color w:val="00317A"/>
      <w:sz w:val="20"/>
      <w:szCs w:val="18"/>
      <w:lang w:val="en-US" w:eastAsia="zh-CN"/>
    </w:rPr>
  </w:style>
  <w:style w:type="paragraph" w:customStyle="1" w:styleId="BlockTestTitle">
    <w:name w:val="Block Test Title"/>
    <w:basedOn w:val="bekMetni"/>
    <w:rsid w:val="007225B4"/>
    <w:pPr>
      <w:spacing w:before="0"/>
      <w:jc w:val="center"/>
    </w:pPr>
    <w:rPr>
      <w:b/>
      <w:i/>
      <w:caps/>
      <w:sz w:val="22"/>
      <w:szCs w:val="22"/>
    </w:rPr>
  </w:style>
  <w:style w:type="paragraph" w:styleId="ListeMaddemi2">
    <w:name w:val="List Bullet 2"/>
    <w:basedOn w:val="Normal"/>
    <w:rsid w:val="007225B4"/>
    <w:pPr>
      <w:numPr>
        <w:numId w:val="2"/>
      </w:numPr>
      <w:shd w:val="clear" w:color="auto" w:fill="FFFFFF"/>
      <w:tabs>
        <w:tab w:val="clear" w:pos="919"/>
      </w:tabs>
      <w:spacing w:after="0" w:line="240" w:lineRule="auto"/>
      <w:ind w:left="1344"/>
    </w:pPr>
    <w:rPr>
      <w:rFonts w:ascii="Spranq eco sans" w:eastAsia="SimSun" w:hAnsi="Spranq eco sans" w:cs="Arial"/>
      <w:noProof/>
      <w:sz w:val="18"/>
      <w:szCs w:val="18"/>
      <w:lang w:val="en-US" w:eastAsia="zh-CN"/>
    </w:rPr>
  </w:style>
  <w:style w:type="table" w:styleId="TabloKlavuzu">
    <w:name w:val="Table Grid"/>
    <w:basedOn w:val="NormalTablo"/>
    <w:uiPriority w:val="59"/>
    <w:rsid w:val="007225B4"/>
    <w:pPr>
      <w:spacing w:after="0" w:line="240" w:lineRule="auto"/>
    </w:pPr>
    <w:rPr>
      <w:rFonts w:ascii="Calibri" w:eastAsia="Times New Roman"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225B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ListeParagrafChar">
    <w:name w:val="Liste Paragraf Char"/>
    <w:basedOn w:val="VarsaylanParagrafYazTipi"/>
    <w:link w:val="ListeParagraf"/>
    <w:uiPriority w:val="34"/>
    <w:rsid w:val="007225B4"/>
    <w:rPr>
      <w:rFonts w:ascii="Calibri" w:eastAsia="Times New Roman" w:hAnsi="Calibri" w:cs="Times New Roman"/>
      <w:lang w:eastAsia="tr-TR"/>
    </w:rPr>
  </w:style>
  <w:style w:type="paragraph" w:styleId="TBal">
    <w:name w:val="TOC Heading"/>
    <w:basedOn w:val="Balk1"/>
    <w:next w:val="Normal"/>
    <w:uiPriority w:val="39"/>
    <w:unhideWhenUsed/>
    <w:qFormat/>
    <w:rsid w:val="007225B4"/>
    <w:pPr>
      <w:keepNext/>
      <w:keepLines/>
      <w:spacing w:before="480" w:line="276" w:lineRule="auto"/>
      <w:jc w:val="left"/>
      <w:outlineLvl w:val="9"/>
    </w:pPr>
    <w:rPr>
      <w:rFonts w:ascii="Cambria" w:eastAsia="Times New Roman" w:hAnsi="Cambria"/>
      <w:bCs/>
      <w:color w:val="365F91"/>
      <w:lang w:eastAsia="en-US"/>
    </w:rPr>
  </w:style>
  <w:style w:type="paragraph" w:styleId="T1">
    <w:name w:val="toc 1"/>
    <w:basedOn w:val="Normal"/>
    <w:next w:val="Normal"/>
    <w:autoRedefine/>
    <w:uiPriority w:val="39"/>
    <w:unhideWhenUsed/>
    <w:rsid w:val="007225B4"/>
    <w:pPr>
      <w:spacing w:after="100"/>
    </w:pPr>
    <w:rPr>
      <w:rFonts w:ascii="Times New Roman" w:eastAsia="Calibri" w:hAnsi="Times New Roman" w:cs="Times New Roman"/>
      <w:color w:val="000000"/>
      <w:sz w:val="24"/>
    </w:rPr>
  </w:style>
  <w:style w:type="paragraph" w:styleId="T2">
    <w:name w:val="toc 2"/>
    <w:basedOn w:val="Normal"/>
    <w:next w:val="Normal"/>
    <w:autoRedefine/>
    <w:uiPriority w:val="39"/>
    <w:unhideWhenUsed/>
    <w:rsid w:val="007225B4"/>
    <w:pPr>
      <w:tabs>
        <w:tab w:val="right" w:leader="dot" w:pos="9062"/>
      </w:tabs>
      <w:spacing w:after="100"/>
      <w:ind w:left="240"/>
    </w:pPr>
    <w:rPr>
      <w:rFonts w:ascii="Times New Roman" w:eastAsia="Calibri" w:hAnsi="Times New Roman" w:cs="Times New Roman"/>
      <w:noProof/>
      <w:color w:val="000000"/>
      <w:sz w:val="24"/>
      <w:szCs w:val="24"/>
    </w:rPr>
  </w:style>
  <w:style w:type="paragraph" w:customStyle="1" w:styleId="BodyCopy">
    <w:name w:val="Body Copy"/>
    <w:basedOn w:val="Normal"/>
    <w:qFormat/>
    <w:rsid w:val="007225B4"/>
    <w:pPr>
      <w:spacing w:after="0" w:line="240" w:lineRule="auto"/>
    </w:pPr>
    <w:rPr>
      <w:rFonts w:ascii="Times New Roman" w:eastAsia="Calibri" w:hAnsi="Times New Roman" w:cs="Times New Roman"/>
      <w:color w:val="000000"/>
      <w:spacing w:val="8"/>
      <w:sz w:val="16"/>
      <w:lang w:val="en-US"/>
    </w:rPr>
  </w:style>
  <w:style w:type="paragraph" w:styleId="BelgeBalantlar">
    <w:name w:val="Document Map"/>
    <w:basedOn w:val="Normal"/>
    <w:link w:val="BelgeBalantlarChar"/>
    <w:uiPriority w:val="99"/>
    <w:semiHidden/>
    <w:unhideWhenUsed/>
    <w:rsid w:val="007225B4"/>
    <w:pPr>
      <w:spacing w:after="0" w:line="240" w:lineRule="auto"/>
    </w:pPr>
    <w:rPr>
      <w:rFonts w:ascii="Tahoma" w:eastAsia="Calibri" w:hAnsi="Tahoma" w:cs="Tahoma"/>
      <w:color w:val="000000"/>
      <w:sz w:val="16"/>
      <w:szCs w:val="16"/>
    </w:rPr>
  </w:style>
  <w:style w:type="character" w:customStyle="1" w:styleId="BelgeBalantlarChar">
    <w:name w:val="Belge Bağlantıları Char"/>
    <w:basedOn w:val="VarsaylanParagrafYazTipi"/>
    <w:link w:val="BelgeBalantlar"/>
    <w:uiPriority w:val="99"/>
    <w:semiHidden/>
    <w:rsid w:val="007225B4"/>
    <w:rPr>
      <w:rFonts w:ascii="Tahoma" w:eastAsia="Calibri" w:hAnsi="Tahoma" w:cs="Tahoma"/>
      <w:color w:val="000000"/>
      <w:sz w:val="16"/>
      <w:szCs w:val="16"/>
    </w:rPr>
  </w:style>
  <w:style w:type="paragraph" w:styleId="T3">
    <w:name w:val="toc 3"/>
    <w:basedOn w:val="Normal"/>
    <w:next w:val="Normal"/>
    <w:autoRedefine/>
    <w:uiPriority w:val="39"/>
    <w:unhideWhenUsed/>
    <w:rsid w:val="007225B4"/>
    <w:pPr>
      <w:spacing w:after="100"/>
      <w:ind w:left="480"/>
    </w:pPr>
    <w:rPr>
      <w:rFonts w:ascii="Times New Roman" w:eastAsia="Calibri" w:hAnsi="Times New Roman" w:cs="Times New Roman"/>
      <w:color w:val="000000"/>
      <w:sz w:val="24"/>
    </w:rPr>
  </w:style>
  <w:style w:type="character" w:styleId="GlVurgulama">
    <w:name w:val="Intense Emphasis"/>
    <w:basedOn w:val="VarsaylanParagrafYazTipi"/>
    <w:uiPriority w:val="21"/>
    <w:qFormat/>
    <w:rsid w:val="007225B4"/>
    <w:rPr>
      <w:b/>
      <w:bCs/>
      <w:i/>
      <w:iCs/>
      <w:color w:val="4F81BD"/>
    </w:rPr>
  </w:style>
  <w:style w:type="character" w:customStyle="1" w:styleId="NormalWebChar">
    <w:name w:val="Normal (Web) Char"/>
    <w:basedOn w:val="VarsaylanParagrafYazTipi"/>
    <w:link w:val="NormalWeb"/>
    <w:uiPriority w:val="99"/>
    <w:rsid w:val="007225B4"/>
    <w:rPr>
      <w:rFonts w:ascii="Times New Roman" w:eastAsia="Times New Roman" w:hAnsi="Times New Roman" w:cs="Times New Roman"/>
      <w:sz w:val="24"/>
      <w:szCs w:val="24"/>
      <w:lang w:eastAsia="tr-TR"/>
    </w:rPr>
  </w:style>
  <w:style w:type="paragraph" w:styleId="AklamaKonusu">
    <w:name w:val="annotation subject"/>
    <w:basedOn w:val="AklamaMetni"/>
    <w:next w:val="AklamaMetni"/>
    <w:link w:val="AklamaKonusuChar"/>
    <w:uiPriority w:val="99"/>
    <w:semiHidden/>
    <w:unhideWhenUsed/>
    <w:rsid w:val="007225B4"/>
    <w:pPr>
      <w:spacing w:line="240" w:lineRule="auto"/>
    </w:pPr>
    <w:rPr>
      <w:rFonts w:ascii="Times New Roman" w:hAnsi="Times New Roman" w:cs="Times New Roman"/>
      <w:b/>
      <w:bCs/>
      <w:color w:val="000000"/>
    </w:rPr>
  </w:style>
  <w:style w:type="character" w:customStyle="1" w:styleId="AklamaKonusuChar">
    <w:name w:val="Açıklama Konusu Char"/>
    <w:basedOn w:val="AklamaMetniChar"/>
    <w:link w:val="AklamaKonusu"/>
    <w:uiPriority w:val="99"/>
    <w:semiHidden/>
    <w:rsid w:val="007225B4"/>
    <w:rPr>
      <w:rFonts w:ascii="Times New Roman" w:eastAsia="Calibri" w:hAnsi="Times New Roman" w:cs="Times New Roman"/>
      <w:b/>
      <w:bCs/>
      <w:color w:val="000000"/>
      <w:sz w:val="20"/>
      <w:szCs w:val="20"/>
    </w:rPr>
  </w:style>
  <w:style w:type="character" w:styleId="Vurgu">
    <w:name w:val="Emphasis"/>
    <w:basedOn w:val="VarsaylanParagrafYazTipi"/>
    <w:uiPriority w:val="20"/>
    <w:qFormat/>
    <w:rsid w:val="007225B4"/>
    <w:rPr>
      <w:i/>
      <w:iCs/>
    </w:rPr>
  </w:style>
  <w:style w:type="paragraph" w:customStyle="1" w:styleId="Altbilgi1">
    <w:name w:val="Altbilgi1"/>
    <w:basedOn w:val="Normal"/>
    <w:rsid w:val="007225B4"/>
    <w:pPr>
      <w:spacing w:before="3" w:after="3" w:line="360" w:lineRule="auto"/>
      <w:ind w:left="367" w:right="367"/>
      <w:jc w:val="center"/>
    </w:pPr>
    <w:rPr>
      <w:rFonts w:ascii="Arial" w:eastAsia="Times New Roman" w:hAnsi="Arial" w:cs="Arial"/>
      <w:b/>
      <w:bCs/>
      <w:color w:val="000000"/>
      <w:sz w:val="24"/>
      <w:szCs w:val="24"/>
      <w:lang w:eastAsia="tr-TR"/>
    </w:rPr>
  </w:style>
  <w:style w:type="paragraph" w:customStyle="1" w:styleId="KonuBal1">
    <w:name w:val="Konu Başlığı1"/>
    <w:basedOn w:val="Normal"/>
    <w:rsid w:val="007225B4"/>
    <w:pPr>
      <w:spacing w:before="100" w:beforeAutospacing="1" w:after="100" w:afterAutospacing="1" w:line="360" w:lineRule="auto"/>
      <w:ind w:left="734" w:right="734" w:firstLine="240"/>
      <w:jc w:val="both"/>
    </w:pPr>
    <w:rPr>
      <w:rFonts w:ascii="Times New Roman" w:eastAsia="Times New Roman" w:hAnsi="Times New Roman" w:cs="Times New Roman"/>
      <w:color w:val="000000"/>
      <w:sz w:val="24"/>
      <w:szCs w:val="24"/>
      <w:lang w:eastAsia="tr-TR"/>
    </w:rPr>
  </w:style>
  <w:style w:type="paragraph" w:customStyle="1" w:styleId="information">
    <w:name w:val="information"/>
    <w:basedOn w:val="Normal"/>
    <w:rsid w:val="007225B4"/>
    <w:pPr>
      <w:spacing w:before="100" w:beforeAutospacing="1" w:after="100" w:afterAutospacing="1" w:line="360" w:lineRule="auto"/>
      <w:ind w:left="734" w:right="734" w:firstLine="240"/>
      <w:jc w:val="both"/>
    </w:pPr>
    <w:rPr>
      <w:rFonts w:ascii="Times New Roman" w:eastAsia="Times New Roman" w:hAnsi="Times New Roman" w:cs="Times New Roman"/>
      <w:color w:val="000000"/>
      <w:sz w:val="24"/>
      <w:szCs w:val="24"/>
      <w:lang w:eastAsia="tr-TR"/>
    </w:rPr>
  </w:style>
  <w:style w:type="character" w:customStyle="1" w:styleId="info">
    <w:name w:val="info"/>
    <w:basedOn w:val="VarsaylanParagrafYazTipi"/>
    <w:rsid w:val="007225B4"/>
  </w:style>
  <w:style w:type="paragraph" w:customStyle="1" w:styleId="indentb">
    <w:name w:val="indentb"/>
    <w:basedOn w:val="Normal"/>
    <w:rsid w:val="007225B4"/>
    <w:pPr>
      <w:spacing w:before="100" w:beforeAutospacing="1" w:after="100" w:afterAutospacing="1" w:line="360" w:lineRule="auto"/>
      <w:ind w:left="734" w:right="734" w:firstLine="240"/>
      <w:jc w:val="both"/>
    </w:pPr>
    <w:rPr>
      <w:rFonts w:ascii="Times New Roman" w:eastAsia="Times New Roman" w:hAnsi="Times New Roman" w:cs="Times New Roman"/>
      <w:color w:val="000000"/>
      <w:sz w:val="24"/>
      <w:szCs w:val="24"/>
      <w:lang w:eastAsia="tr-TR"/>
    </w:rPr>
  </w:style>
  <w:style w:type="paragraph" w:customStyle="1" w:styleId="sig">
    <w:name w:val="sig"/>
    <w:basedOn w:val="Normal"/>
    <w:rsid w:val="007225B4"/>
    <w:pPr>
      <w:spacing w:before="100" w:beforeAutospacing="1" w:after="100" w:afterAutospacing="1" w:line="360" w:lineRule="auto"/>
      <w:ind w:left="734" w:right="734" w:firstLine="240"/>
      <w:jc w:val="both"/>
    </w:pPr>
    <w:rPr>
      <w:rFonts w:ascii="Times New Roman" w:eastAsia="Times New Roman" w:hAnsi="Times New Roman" w:cs="Times New Roman"/>
      <w:color w:val="000000"/>
      <w:sz w:val="24"/>
      <w:szCs w:val="24"/>
      <w:lang w:eastAsia="tr-TR"/>
    </w:rPr>
  </w:style>
  <w:style w:type="paragraph" w:customStyle="1" w:styleId="skip">
    <w:name w:val="skip"/>
    <w:basedOn w:val="Normal"/>
    <w:rsid w:val="007225B4"/>
    <w:pPr>
      <w:spacing w:before="100" w:beforeAutospacing="1" w:after="100" w:afterAutospacing="1" w:line="360" w:lineRule="auto"/>
      <w:ind w:left="734" w:right="734" w:firstLine="240"/>
      <w:jc w:val="both"/>
    </w:pPr>
    <w:rPr>
      <w:rFonts w:ascii="Times New Roman" w:eastAsia="Times New Roman" w:hAnsi="Times New Roman" w:cs="Times New Roman"/>
      <w:color w:val="000000"/>
      <w:sz w:val="24"/>
      <w:szCs w:val="24"/>
      <w:lang w:eastAsia="tr-TR"/>
    </w:rPr>
  </w:style>
  <w:style w:type="character" w:customStyle="1" w:styleId="btn">
    <w:name w:val="btn"/>
    <w:basedOn w:val="VarsaylanParagrafYazTipi"/>
    <w:rsid w:val="007225B4"/>
  </w:style>
  <w:style w:type="character" w:customStyle="1" w:styleId="nobold">
    <w:name w:val="nobold"/>
    <w:basedOn w:val="VarsaylanParagrafYazTipi"/>
    <w:rsid w:val="007225B4"/>
  </w:style>
  <w:style w:type="character" w:customStyle="1" w:styleId="yshortcuts1">
    <w:name w:val="yshortcuts1"/>
    <w:basedOn w:val="VarsaylanParagrafYazTipi"/>
    <w:rsid w:val="007225B4"/>
    <w:rPr>
      <w:color w:val="366388"/>
    </w:rPr>
  </w:style>
  <w:style w:type="character" w:customStyle="1" w:styleId="yshortcuts2">
    <w:name w:val="yshortcuts2"/>
    <w:basedOn w:val="VarsaylanParagrafYazTipi"/>
    <w:rsid w:val="007225B4"/>
    <w:rPr>
      <w:color w:val="366388"/>
    </w:rPr>
  </w:style>
  <w:style w:type="character" w:customStyle="1" w:styleId="yshortcuts3">
    <w:name w:val="yshortcuts3"/>
    <w:basedOn w:val="VarsaylanParagrafYazTipi"/>
    <w:rsid w:val="007225B4"/>
    <w:rPr>
      <w:color w:val="366388"/>
    </w:rPr>
  </w:style>
  <w:style w:type="character" w:customStyle="1" w:styleId="fname">
    <w:name w:val="fname"/>
    <w:basedOn w:val="VarsaylanParagrafYazTipi"/>
    <w:rsid w:val="007225B4"/>
  </w:style>
  <w:style w:type="paragraph" w:customStyle="1" w:styleId="yiv76352461msonormal">
    <w:name w:val="yiv76352461msonormal"/>
    <w:basedOn w:val="Normal"/>
    <w:rsid w:val="007225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pgroupname3">
    <w:name w:val="pp_group_name3"/>
    <w:basedOn w:val="VarsaylanParagrafYazTipi"/>
    <w:rsid w:val="007225B4"/>
  </w:style>
  <w:style w:type="character" w:customStyle="1" w:styleId="filesize">
    <w:name w:val="filesize"/>
    <w:basedOn w:val="VarsaylanParagrafYazTipi"/>
    <w:rsid w:val="007225B4"/>
  </w:style>
  <w:style w:type="paragraph" w:customStyle="1" w:styleId="xl66">
    <w:name w:val="xl66"/>
    <w:basedOn w:val="Normal"/>
    <w:rsid w:val="007225B4"/>
    <w:pPr>
      <w:spacing w:before="100" w:beforeAutospacing="1" w:after="100" w:afterAutospacing="1" w:line="240" w:lineRule="auto"/>
    </w:pPr>
    <w:rPr>
      <w:rFonts w:ascii="Arial" w:eastAsia="Times New Roman" w:hAnsi="Arial" w:cs="Arial"/>
      <w:b/>
      <w:bCs/>
      <w:color w:val="DD0806"/>
      <w:sz w:val="24"/>
      <w:szCs w:val="24"/>
      <w:lang w:eastAsia="tr-TR"/>
    </w:rPr>
  </w:style>
  <w:style w:type="paragraph" w:customStyle="1" w:styleId="xl67">
    <w:name w:val="xl67"/>
    <w:basedOn w:val="Normal"/>
    <w:rsid w:val="007225B4"/>
    <w:pPr>
      <w:spacing w:before="100" w:beforeAutospacing="1" w:after="100" w:afterAutospacing="1" w:line="240" w:lineRule="auto"/>
      <w:jc w:val="both"/>
    </w:pPr>
    <w:rPr>
      <w:rFonts w:ascii="Times New Roman" w:eastAsia="Times New Roman" w:hAnsi="Times New Roman" w:cs="Times New Roman"/>
      <w:color w:val="DD0806"/>
      <w:sz w:val="24"/>
      <w:szCs w:val="24"/>
      <w:lang w:eastAsia="tr-TR"/>
    </w:rPr>
  </w:style>
  <w:style w:type="paragraph" w:customStyle="1" w:styleId="xl68">
    <w:name w:val="xl68"/>
    <w:basedOn w:val="Normal"/>
    <w:rsid w:val="007225B4"/>
    <w:pPr>
      <w:spacing w:before="100" w:beforeAutospacing="1" w:after="100" w:afterAutospacing="1" w:line="240" w:lineRule="auto"/>
    </w:pPr>
    <w:rPr>
      <w:rFonts w:ascii="Times New Roman" w:eastAsia="Times New Roman" w:hAnsi="Times New Roman" w:cs="Times New Roman"/>
      <w:color w:val="DD0806"/>
      <w:sz w:val="24"/>
      <w:szCs w:val="24"/>
      <w:lang w:eastAsia="tr-TR"/>
    </w:rPr>
  </w:style>
  <w:style w:type="paragraph" w:customStyle="1" w:styleId="xl69">
    <w:name w:val="xl69"/>
    <w:basedOn w:val="Normal"/>
    <w:rsid w:val="007225B4"/>
    <w:pPr>
      <w:spacing w:before="100" w:beforeAutospacing="1" w:after="100" w:afterAutospacing="1" w:line="240" w:lineRule="auto"/>
    </w:pPr>
    <w:rPr>
      <w:rFonts w:ascii="Arial" w:eastAsia="Times New Roman" w:hAnsi="Arial" w:cs="Arial"/>
      <w:b/>
      <w:bCs/>
      <w:color w:val="FF0000"/>
      <w:sz w:val="24"/>
      <w:szCs w:val="24"/>
      <w:lang w:eastAsia="tr-TR"/>
    </w:rPr>
  </w:style>
  <w:style w:type="paragraph" w:customStyle="1" w:styleId="xl70">
    <w:name w:val="xl70"/>
    <w:basedOn w:val="Normal"/>
    <w:rsid w:val="007225B4"/>
    <w:pPr>
      <w:spacing w:before="100" w:beforeAutospacing="1" w:after="100" w:afterAutospacing="1" w:line="240" w:lineRule="auto"/>
    </w:pPr>
    <w:rPr>
      <w:rFonts w:ascii="Arial" w:eastAsia="Times New Roman" w:hAnsi="Arial" w:cs="Arial"/>
      <w:color w:val="FF0000"/>
      <w:sz w:val="24"/>
      <w:szCs w:val="24"/>
      <w:lang w:eastAsia="tr-TR"/>
    </w:rPr>
  </w:style>
  <w:style w:type="paragraph" w:customStyle="1" w:styleId="yiv8029559858msoplaintext">
    <w:name w:val="yiv8029559858msoplaintext"/>
    <w:basedOn w:val="Normal"/>
    <w:rsid w:val="007225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8029559858msonormal">
    <w:name w:val="yiv8029559858msonormal"/>
    <w:basedOn w:val="Normal"/>
    <w:rsid w:val="007225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c-remove-item">
    <w:name w:val="ac-remove-item"/>
    <w:basedOn w:val="VarsaylanParagrafYazTipi"/>
    <w:rsid w:val="007225B4"/>
  </w:style>
  <w:style w:type="character" w:customStyle="1" w:styleId="st1">
    <w:name w:val="st1"/>
    <w:basedOn w:val="VarsaylanParagrafYazTipi"/>
    <w:rsid w:val="00722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225B4"/>
    <w:pPr>
      <w:spacing w:after="0" w:line="240" w:lineRule="auto"/>
      <w:jc w:val="center"/>
      <w:outlineLvl w:val="0"/>
    </w:pPr>
    <w:rPr>
      <w:rFonts w:ascii="Helvetica" w:eastAsia="SimSun" w:hAnsi="Helvetica" w:cs="Times New Roman"/>
      <w:b/>
      <w:color w:val="333399"/>
      <w:sz w:val="28"/>
      <w:szCs w:val="28"/>
      <w:lang w:eastAsia="zh-CN"/>
    </w:rPr>
  </w:style>
  <w:style w:type="paragraph" w:styleId="Balk2">
    <w:name w:val="heading 2"/>
    <w:basedOn w:val="Normal"/>
    <w:next w:val="Normal"/>
    <w:link w:val="Balk2Char"/>
    <w:uiPriority w:val="9"/>
    <w:qFormat/>
    <w:rsid w:val="007225B4"/>
    <w:pPr>
      <w:spacing w:after="0" w:line="240" w:lineRule="auto"/>
      <w:jc w:val="center"/>
      <w:outlineLvl w:val="1"/>
    </w:pPr>
    <w:rPr>
      <w:rFonts w:ascii="Helvetica" w:eastAsia="SimSun" w:hAnsi="Helvetica" w:cs="Times New Roman"/>
      <w:b/>
      <w:bCs/>
      <w:i/>
      <w:iCs/>
      <w:color w:val="333399"/>
      <w:sz w:val="20"/>
      <w:szCs w:val="20"/>
      <w:lang w:eastAsia="zh-CN"/>
    </w:rPr>
  </w:style>
  <w:style w:type="paragraph" w:styleId="Balk3">
    <w:name w:val="heading 3"/>
    <w:basedOn w:val="Normal"/>
    <w:next w:val="Normal"/>
    <w:link w:val="Balk3Char"/>
    <w:uiPriority w:val="9"/>
    <w:qFormat/>
    <w:rsid w:val="007225B4"/>
    <w:pPr>
      <w:spacing w:before="240" w:after="0" w:line="240" w:lineRule="auto"/>
      <w:outlineLvl w:val="2"/>
    </w:pPr>
    <w:rPr>
      <w:rFonts w:ascii="Helvetica" w:eastAsia="SimSun" w:hAnsi="Helvetica" w:cs="Times New Roman"/>
      <w:b/>
      <w:bCs/>
      <w:color w:val="333399"/>
      <w:sz w:val="20"/>
      <w:szCs w:val="20"/>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25B4"/>
    <w:rPr>
      <w:rFonts w:ascii="Helvetica" w:eastAsia="SimSun" w:hAnsi="Helvetica" w:cs="Times New Roman"/>
      <w:b/>
      <w:color w:val="333399"/>
      <w:sz w:val="28"/>
      <w:szCs w:val="28"/>
      <w:lang w:eastAsia="zh-CN"/>
    </w:rPr>
  </w:style>
  <w:style w:type="character" w:customStyle="1" w:styleId="Balk2Char">
    <w:name w:val="Başlık 2 Char"/>
    <w:basedOn w:val="VarsaylanParagrafYazTipi"/>
    <w:link w:val="Balk2"/>
    <w:uiPriority w:val="9"/>
    <w:rsid w:val="007225B4"/>
    <w:rPr>
      <w:rFonts w:ascii="Helvetica" w:eastAsia="SimSun" w:hAnsi="Helvetica" w:cs="Times New Roman"/>
      <w:b/>
      <w:bCs/>
      <w:i/>
      <w:iCs/>
      <w:color w:val="333399"/>
      <w:sz w:val="20"/>
      <w:szCs w:val="20"/>
      <w:lang w:eastAsia="zh-CN"/>
    </w:rPr>
  </w:style>
  <w:style w:type="character" w:customStyle="1" w:styleId="Balk3Char">
    <w:name w:val="Başlık 3 Char"/>
    <w:basedOn w:val="VarsaylanParagrafYazTipi"/>
    <w:link w:val="Balk3"/>
    <w:uiPriority w:val="9"/>
    <w:rsid w:val="007225B4"/>
    <w:rPr>
      <w:rFonts w:ascii="Helvetica" w:eastAsia="SimSun" w:hAnsi="Helvetica" w:cs="Times New Roman"/>
      <w:b/>
      <w:bCs/>
      <w:color w:val="333399"/>
      <w:sz w:val="20"/>
      <w:szCs w:val="20"/>
      <w:lang w:eastAsia="zh-CN"/>
    </w:rPr>
  </w:style>
  <w:style w:type="numbering" w:customStyle="1" w:styleId="ListeYok1">
    <w:name w:val="Liste Yok1"/>
    <w:next w:val="ListeYok"/>
    <w:uiPriority w:val="99"/>
    <w:semiHidden/>
    <w:unhideWhenUsed/>
    <w:rsid w:val="007225B4"/>
  </w:style>
  <w:style w:type="paragraph" w:styleId="ListeParagraf">
    <w:name w:val="List Paragraph"/>
    <w:basedOn w:val="Normal"/>
    <w:link w:val="ListeParagrafChar"/>
    <w:uiPriority w:val="34"/>
    <w:qFormat/>
    <w:rsid w:val="007225B4"/>
    <w:pPr>
      <w:ind w:left="720"/>
      <w:contextualSpacing/>
    </w:pPr>
    <w:rPr>
      <w:rFonts w:ascii="Calibri" w:eastAsia="Times New Roman" w:hAnsi="Calibri" w:cs="Times New Roman"/>
      <w:lang w:eastAsia="tr-TR"/>
    </w:rPr>
  </w:style>
  <w:style w:type="character" w:styleId="Gl">
    <w:name w:val="Strong"/>
    <w:basedOn w:val="VarsaylanParagrafYazTipi"/>
    <w:uiPriority w:val="22"/>
    <w:qFormat/>
    <w:rsid w:val="007225B4"/>
    <w:rPr>
      <w:b/>
      <w:bCs/>
    </w:rPr>
  </w:style>
  <w:style w:type="paragraph" w:styleId="NormalWeb">
    <w:name w:val="Normal (Web)"/>
    <w:basedOn w:val="Normal"/>
    <w:link w:val="NormalWebChar"/>
    <w:uiPriority w:val="99"/>
    <w:unhideWhenUsed/>
    <w:rsid w:val="007225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rsid w:val="007225B4"/>
    <w:rPr>
      <w:color w:val="0000FF"/>
      <w:u w:val="single"/>
    </w:rPr>
  </w:style>
  <w:style w:type="paragraph" w:styleId="stbilgi">
    <w:name w:val="header"/>
    <w:basedOn w:val="Normal"/>
    <w:link w:val="stbilgiChar"/>
    <w:uiPriority w:val="99"/>
    <w:unhideWhenUsed/>
    <w:rsid w:val="007225B4"/>
    <w:pPr>
      <w:tabs>
        <w:tab w:val="center" w:pos="4536"/>
        <w:tab w:val="right" w:pos="9072"/>
      </w:tabs>
      <w:spacing w:after="0" w:line="240" w:lineRule="auto"/>
    </w:pPr>
    <w:rPr>
      <w:rFonts w:ascii="Calibri" w:eastAsia="Times New Roman" w:hAnsi="Calibri" w:cs="Times New Roman"/>
      <w:lang w:val="fr-FR"/>
    </w:rPr>
  </w:style>
  <w:style w:type="character" w:customStyle="1" w:styleId="stbilgiChar">
    <w:name w:val="Üstbilgi Char"/>
    <w:basedOn w:val="VarsaylanParagrafYazTipi"/>
    <w:link w:val="stbilgi"/>
    <w:uiPriority w:val="99"/>
    <w:rsid w:val="007225B4"/>
    <w:rPr>
      <w:rFonts w:ascii="Calibri" w:eastAsia="Times New Roman" w:hAnsi="Calibri" w:cs="Times New Roman"/>
      <w:lang w:val="fr-FR"/>
    </w:rPr>
  </w:style>
  <w:style w:type="paragraph" w:styleId="Altbilgi">
    <w:name w:val="footer"/>
    <w:basedOn w:val="Normal"/>
    <w:link w:val="AltbilgiChar"/>
    <w:uiPriority w:val="99"/>
    <w:unhideWhenUsed/>
    <w:rsid w:val="007225B4"/>
    <w:pPr>
      <w:tabs>
        <w:tab w:val="center" w:pos="4536"/>
        <w:tab w:val="right" w:pos="9072"/>
      </w:tabs>
      <w:spacing w:after="0" w:line="240" w:lineRule="auto"/>
    </w:pPr>
    <w:rPr>
      <w:rFonts w:ascii="Calibri" w:eastAsia="Times New Roman" w:hAnsi="Calibri" w:cs="Times New Roman"/>
      <w:lang w:val="fr-FR"/>
    </w:rPr>
  </w:style>
  <w:style w:type="character" w:customStyle="1" w:styleId="AltbilgiChar">
    <w:name w:val="Altbilgi Char"/>
    <w:basedOn w:val="VarsaylanParagrafYazTipi"/>
    <w:link w:val="Altbilgi"/>
    <w:uiPriority w:val="99"/>
    <w:rsid w:val="007225B4"/>
    <w:rPr>
      <w:rFonts w:ascii="Calibri" w:eastAsia="Times New Roman" w:hAnsi="Calibri" w:cs="Times New Roman"/>
      <w:lang w:val="fr-FR"/>
    </w:rPr>
  </w:style>
  <w:style w:type="paragraph" w:customStyle="1" w:styleId="ListeParagraf1">
    <w:name w:val="Liste Paragraf1"/>
    <w:basedOn w:val="Normal"/>
    <w:qFormat/>
    <w:rsid w:val="007225B4"/>
    <w:pPr>
      <w:ind w:left="720"/>
      <w:contextualSpacing/>
    </w:pPr>
    <w:rPr>
      <w:rFonts w:ascii="Calibri" w:eastAsia="Times New Roman" w:hAnsi="Calibri" w:cs="Times New Roman"/>
      <w:lang w:val="fr-FR"/>
    </w:rPr>
  </w:style>
  <w:style w:type="character" w:styleId="zlenenKpr">
    <w:name w:val="FollowedHyperlink"/>
    <w:basedOn w:val="VarsaylanParagrafYazTipi"/>
    <w:uiPriority w:val="99"/>
    <w:semiHidden/>
    <w:unhideWhenUsed/>
    <w:rsid w:val="007225B4"/>
    <w:rPr>
      <w:color w:val="800080"/>
      <w:u w:val="single"/>
    </w:rPr>
  </w:style>
  <w:style w:type="paragraph" w:styleId="DipnotMetni">
    <w:name w:val="footnote text"/>
    <w:basedOn w:val="Normal"/>
    <w:link w:val="DipnotMetniChar1"/>
    <w:semiHidden/>
    <w:unhideWhenUsed/>
    <w:rsid w:val="007225B4"/>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semiHidden/>
    <w:rsid w:val="007225B4"/>
    <w:rPr>
      <w:sz w:val="20"/>
      <w:szCs w:val="20"/>
    </w:rPr>
  </w:style>
  <w:style w:type="paragraph" w:styleId="AklamaMetni">
    <w:name w:val="annotation text"/>
    <w:basedOn w:val="Normal"/>
    <w:link w:val="AklamaMetniChar"/>
    <w:uiPriority w:val="99"/>
    <w:semiHidden/>
    <w:unhideWhenUsed/>
    <w:rsid w:val="007225B4"/>
    <w:rPr>
      <w:rFonts w:ascii="Arial" w:eastAsia="Calibri" w:hAnsi="Arial" w:cs="Arial"/>
      <w:sz w:val="20"/>
      <w:szCs w:val="20"/>
    </w:rPr>
  </w:style>
  <w:style w:type="character" w:customStyle="1" w:styleId="AklamaMetniChar">
    <w:name w:val="Açıklama Metni Char"/>
    <w:basedOn w:val="VarsaylanParagrafYazTipi"/>
    <w:link w:val="AklamaMetni"/>
    <w:uiPriority w:val="99"/>
    <w:semiHidden/>
    <w:rsid w:val="007225B4"/>
    <w:rPr>
      <w:rFonts w:ascii="Arial" w:eastAsia="Calibri" w:hAnsi="Arial" w:cs="Arial"/>
      <w:sz w:val="20"/>
      <w:szCs w:val="20"/>
    </w:rPr>
  </w:style>
  <w:style w:type="paragraph" w:styleId="GvdeMetni">
    <w:name w:val="Body Text"/>
    <w:basedOn w:val="Normal"/>
    <w:link w:val="GvdeMetniChar"/>
    <w:semiHidden/>
    <w:unhideWhenUsed/>
    <w:rsid w:val="007225B4"/>
    <w:pPr>
      <w:spacing w:after="0" w:line="240" w:lineRule="auto"/>
      <w:jc w:val="both"/>
    </w:pPr>
    <w:rPr>
      <w:rFonts w:ascii="Times New Roman" w:eastAsia="Calibri" w:hAnsi="Times New Roman" w:cs="Times New Roman"/>
      <w:b/>
      <w:sz w:val="24"/>
      <w:szCs w:val="20"/>
      <w:lang w:eastAsia="tr-TR"/>
    </w:rPr>
  </w:style>
  <w:style w:type="character" w:customStyle="1" w:styleId="GvdeMetniChar">
    <w:name w:val="Gövde Metni Char"/>
    <w:basedOn w:val="VarsaylanParagrafYazTipi"/>
    <w:link w:val="GvdeMetni"/>
    <w:semiHidden/>
    <w:rsid w:val="007225B4"/>
    <w:rPr>
      <w:rFonts w:ascii="Times New Roman" w:eastAsia="Calibri" w:hAnsi="Times New Roman" w:cs="Times New Roman"/>
      <w:b/>
      <w:sz w:val="24"/>
      <w:szCs w:val="20"/>
      <w:lang w:eastAsia="tr-TR"/>
    </w:rPr>
  </w:style>
  <w:style w:type="paragraph" w:styleId="GvdeMetniGirintisi3">
    <w:name w:val="Body Text Indent 3"/>
    <w:basedOn w:val="Normal"/>
    <w:link w:val="GvdeMetniGirintisi3Char"/>
    <w:unhideWhenUsed/>
    <w:rsid w:val="007225B4"/>
    <w:pPr>
      <w:spacing w:after="120" w:line="240" w:lineRule="auto"/>
      <w:ind w:left="283"/>
    </w:pPr>
    <w:rPr>
      <w:rFonts w:ascii="Times New Roman" w:eastAsia="Calibri"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7225B4"/>
    <w:rPr>
      <w:rFonts w:ascii="Times New Roman" w:eastAsia="Calibri" w:hAnsi="Times New Roman" w:cs="Times New Roman"/>
      <w:sz w:val="16"/>
      <w:szCs w:val="16"/>
      <w:lang w:eastAsia="tr-TR"/>
    </w:rPr>
  </w:style>
  <w:style w:type="paragraph" w:styleId="BalonMetni">
    <w:name w:val="Balloon Text"/>
    <w:basedOn w:val="Normal"/>
    <w:link w:val="BalonMetniChar"/>
    <w:uiPriority w:val="99"/>
    <w:semiHidden/>
    <w:unhideWhenUsed/>
    <w:rsid w:val="007225B4"/>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7225B4"/>
    <w:rPr>
      <w:rFonts w:ascii="Tahoma" w:eastAsia="Times New Roman" w:hAnsi="Tahoma" w:cs="Tahoma"/>
      <w:sz w:val="16"/>
      <w:szCs w:val="16"/>
      <w:lang w:eastAsia="tr-TR"/>
    </w:rPr>
  </w:style>
  <w:style w:type="paragraph" w:customStyle="1" w:styleId="ListeParagraf2">
    <w:name w:val="Liste Paragraf2"/>
    <w:basedOn w:val="Normal"/>
    <w:semiHidden/>
    <w:rsid w:val="007225B4"/>
    <w:pPr>
      <w:spacing w:after="0" w:line="240" w:lineRule="auto"/>
      <w:ind w:left="720"/>
      <w:contextualSpacing/>
    </w:pPr>
    <w:rPr>
      <w:rFonts w:ascii="Times New Roman" w:eastAsia="Calibri" w:hAnsi="Times New Roman" w:cs="Times New Roman"/>
      <w:sz w:val="24"/>
      <w:szCs w:val="24"/>
      <w:lang w:eastAsia="tr-TR"/>
    </w:rPr>
  </w:style>
  <w:style w:type="character" w:styleId="DipnotBavurusu">
    <w:name w:val="footnote reference"/>
    <w:basedOn w:val="VarsaylanParagrafYazTipi"/>
    <w:semiHidden/>
    <w:unhideWhenUsed/>
    <w:rsid w:val="007225B4"/>
    <w:rPr>
      <w:vertAlign w:val="superscript"/>
    </w:rPr>
  </w:style>
  <w:style w:type="character" w:styleId="AklamaBavurusu">
    <w:name w:val="annotation reference"/>
    <w:basedOn w:val="VarsaylanParagrafYazTipi"/>
    <w:uiPriority w:val="99"/>
    <w:semiHidden/>
    <w:unhideWhenUsed/>
    <w:rsid w:val="007225B4"/>
    <w:rPr>
      <w:sz w:val="16"/>
      <w:szCs w:val="16"/>
    </w:rPr>
  </w:style>
  <w:style w:type="character" w:customStyle="1" w:styleId="msohyperlnk">
    <w:name w:val="msohyperlınk"/>
    <w:basedOn w:val="VarsaylanParagrafYazTipi"/>
    <w:rsid w:val="007225B4"/>
    <w:rPr>
      <w:rFonts w:ascii="Times New Roman" w:hAnsi="Times New Roman" w:cs="Times New Roman" w:hint="default"/>
      <w:color w:val="0000FF"/>
      <w:u w:val="single"/>
    </w:rPr>
  </w:style>
  <w:style w:type="character" w:customStyle="1" w:styleId="msohyperlnkfollowed">
    <w:name w:val="msohyperlınkfollowed"/>
    <w:basedOn w:val="VarsaylanParagrafYazTipi"/>
    <w:uiPriority w:val="99"/>
    <w:semiHidden/>
    <w:rsid w:val="007225B4"/>
    <w:rPr>
      <w:color w:val="800080"/>
      <w:u w:val="single"/>
    </w:rPr>
  </w:style>
  <w:style w:type="character" w:customStyle="1" w:styleId="DipnotMetniChar1">
    <w:name w:val="Dipnot Metni Char1"/>
    <w:basedOn w:val="VarsaylanParagrafYazTipi"/>
    <w:link w:val="DipnotMetni"/>
    <w:semiHidden/>
    <w:locked/>
    <w:rsid w:val="007225B4"/>
    <w:rPr>
      <w:rFonts w:ascii="Calibri" w:eastAsia="Calibri" w:hAnsi="Calibri" w:cs="Times New Roman"/>
      <w:sz w:val="20"/>
      <w:szCs w:val="20"/>
    </w:rPr>
  </w:style>
  <w:style w:type="character" w:customStyle="1" w:styleId="CharChar3">
    <w:name w:val="Char Char3"/>
    <w:basedOn w:val="VarsaylanParagrafYazTipi"/>
    <w:semiHidden/>
    <w:rsid w:val="007225B4"/>
    <w:rPr>
      <w:rFonts w:ascii="Arial" w:eastAsia="Calibri" w:hAnsi="Arial" w:cs="Arial" w:hint="default"/>
      <w:lang w:val="tr-TR" w:eastAsia="en-US" w:bidi="ar-SA"/>
    </w:rPr>
  </w:style>
  <w:style w:type="character" w:customStyle="1" w:styleId="CharChar">
    <w:name w:val="Char Char"/>
    <w:basedOn w:val="VarsaylanParagrafYazTipi"/>
    <w:semiHidden/>
    <w:locked/>
    <w:rsid w:val="007225B4"/>
    <w:rPr>
      <w:rFonts w:ascii="Calibri" w:eastAsia="Calibri" w:hAnsi="Calibri" w:hint="default"/>
      <w:lang w:val="tr-TR" w:eastAsia="en-US" w:bidi="ar-SA"/>
    </w:rPr>
  </w:style>
  <w:style w:type="paragraph" w:customStyle="1" w:styleId="listparagraph">
    <w:name w:val="listparagraph"/>
    <w:basedOn w:val="Normal"/>
    <w:semiHidden/>
    <w:rsid w:val="007225B4"/>
    <w:pPr>
      <w:spacing w:before="100" w:beforeAutospacing="1" w:after="100" w:afterAutospacing="1" w:line="240" w:lineRule="auto"/>
    </w:pPr>
    <w:rPr>
      <w:rFonts w:ascii="Tahoma" w:eastAsia="Times New Roman" w:hAnsi="Tahoma" w:cs="Tahoma"/>
      <w:color w:val="333333"/>
      <w:sz w:val="17"/>
      <w:szCs w:val="17"/>
      <w:lang w:eastAsia="tr-TR"/>
    </w:rPr>
  </w:style>
  <w:style w:type="character" w:customStyle="1" w:styleId="antlinkz">
    <w:name w:val="antlinkz"/>
    <w:basedOn w:val="VarsaylanParagrafYazTipi"/>
    <w:rsid w:val="007225B4"/>
  </w:style>
  <w:style w:type="paragraph" w:styleId="ListeMaddemi">
    <w:name w:val="List Bullet"/>
    <w:basedOn w:val="NormalWeb"/>
    <w:link w:val="ListeMaddemiChar"/>
    <w:rsid w:val="007225B4"/>
    <w:pPr>
      <w:numPr>
        <w:numId w:val="1"/>
      </w:numPr>
      <w:spacing w:before="120" w:beforeAutospacing="0" w:after="60" w:afterAutospacing="0"/>
    </w:pPr>
    <w:rPr>
      <w:rFonts w:ascii="Spranq eco sans" w:eastAsia="SimSun" w:hAnsi="Spranq eco sans"/>
      <w:spacing w:val="-8"/>
      <w:sz w:val="18"/>
      <w:szCs w:val="18"/>
      <w:lang w:val="en-CA" w:eastAsia="zh-CN"/>
    </w:rPr>
  </w:style>
  <w:style w:type="character" w:customStyle="1" w:styleId="ListeMaddemiChar">
    <w:name w:val="Liste Madde İmi Char"/>
    <w:link w:val="ListeMaddemi"/>
    <w:rsid w:val="007225B4"/>
    <w:rPr>
      <w:rFonts w:ascii="Spranq eco sans" w:eastAsia="SimSun" w:hAnsi="Spranq eco sans" w:cs="Times New Roman"/>
      <w:spacing w:val="-8"/>
      <w:sz w:val="18"/>
      <w:szCs w:val="18"/>
      <w:lang w:val="en-CA" w:eastAsia="zh-CN"/>
    </w:rPr>
  </w:style>
  <w:style w:type="paragraph" w:styleId="bekMetni">
    <w:name w:val="Block Text"/>
    <w:basedOn w:val="Normal"/>
    <w:rsid w:val="007225B4"/>
    <w:pPr>
      <w:spacing w:before="60" w:after="0" w:line="240" w:lineRule="auto"/>
    </w:pPr>
    <w:rPr>
      <w:rFonts w:ascii="Helvetica" w:eastAsia="SimSun" w:hAnsi="Helvetica" w:cs="Times New Roman"/>
      <w:iCs/>
      <w:color w:val="00317A"/>
      <w:sz w:val="20"/>
      <w:szCs w:val="18"/>
      <w:lang w:val="en-US" w:eastAsia="zh-CN"/>
    </w:rPr>
  </w:style>
  <w:style w:type="paragraph" w:customStyle="1" w:styleId="BlockTestTitle">
    <w:name w:val="Block Test Title"/>
    <w:basedOn w:val="bekMetni"/>
    <w:rsid w:val="007225B4"/>
    <w:pPr>
      <w:spacing w:before="0"/>
      <w:jc w:val="center"/>
    </w:pPr>
    <w:rPr>
      <w:b/>
      <w:i/>
      <w:caps/>
      <w:sz w:val="22"/>
      <w:szCs w:val="22"/>
    </w:rPr>
  </w:style>
  <w:style w:type="paragraph" w:styleId="ListeMaddemi2">
    <w:name w:val="List Bullet 2"/>
    <w:basedOn w:val="Normal"/>
    <w:rsid w:val="007225B4"/>
    <w:pPr>
      <w:numPr>
        <w:numId w:val="2"/>
      </w:numPr>
      <w:shd w:val="clear" w:color="auto" w:fill="FFFFFF"/>
      <w:tabs>
        <w:tab w:val="clear" w:pos="919"/>
      </w:tabs>
      <w:spacing w:after="0" w:line="240" w:lineRule="auto"/>
      <w:ind w:left="1344"/>
    </w:pPr>
    <w:rPr>
      <w:rFonts w:ascii="Spranq eco sans" w:eastAsia="SimSun" w:hAnsi="Spranq eco sans" w:cs="Arial"/>
      <w:noProof/>
      <w:sz w:val="18"/>
      <w:szCs w:val="18"/>
      <w:lang w:val="en-US" w:eastAsia="zh-CN"/>
    </w:rPr>
  </w:style>
  <w:style w:type="table" w:styleId="TabloKlavuzu">
    <w:name w:val="Table Grid"/>
    <w:basedOn w:val="NormalTablo"/>
    <w:uiPriority w:val="59"/>
    <w:rsid w:val="007225B4"/>
    <w:pPr>
      <w:spacing w:after="0" w:line="240" w:lineRule="auto"/>
    </w:pPr>
    <w:rPr>
      <w:rFonts w:ascii="Calibri" w:eastAsia="Times New Roman"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225B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ListeParagrafChar">
    <w:name w:val="Liste Paragraf Char"/>
    <w:basedOn w:val="VarsaylanParagrafYazTipi"/>
    <w:link w:val="ListeParagraf"/>
    <w:uiPriority w:val="34"/>
    <w:rsid w:val="007225B4"/>
    <w:rPr>
      <w:rFonts w:ascii="Calibri" w:eastAsia="Times New Roman" w:hAnsi="Calibri" w:cs="Times New Roman"/>
      <w:lang w:eastAsia="tr-TR"/>
    </w:rPr>
  </w:style>
  <w:style w:type="paragraph" w:styleId="TBal">
    <w:name w:val="TOC Heading"/>
    <w:basedOn w:val="Balk1"/>
    <w:next w:val="Normal"/>
    <w:uiPriority w:val="39"/>
    <w:unhideWhenUsed/>
    <w:qFormat/>
    <w:rsid w:val="007225B4"/>
    <w:pPr>
      <w:keepNext/>
      <w:keepLines/>
      <w:spacing w:before="480" w:line="276" w:lineRule="auto"/>
      <w:jc w:val="left"/>
      <w:outlineLvl w:val="9"/>
    </w:pPr>
    <w:rPr>
      <w:rFonts w:ascii="Cambria" w:eastAsia="Times New Roman" w:hAnsi="Cambria"/>
      <w:bCs/>
      <w:color w:val="365F91"/>
      <w:lang w:eastAsia="en-US"/>
    </w:rPr>
  </w:style>
  <w:style w:type="paragraph" w:styleId="T1">
    <w:name w:val="toc 1"/>
    <w:basedOn w:val="Normal"/>
    <w:next w:val="Normal"/>
    <w:autoRedefine/>
    <w:uiPriority w:val="39"/>
    <w:unhideWhenUsed/>
    <w:rsid w:val="007225B4"/>
    <w:pPr>
      <w:spacing w:after="100"/>
    </w:pPr>
    <w:rPr>
      <w:rFonts w:ascii="Times New Roman" w:eastAsia="Calibri" w:hAnsi="Times New Roman" w:cs="Times New Roman"/>
      <w:color w:val="000000"/>
      <w:sz w:val="24"/>
    </w:rPr>
  </w:style>
  <w:style w:type="paragraph" w:styleId="T2">
    <w:name w:val="toc 2"/>
    <w:basedOn w:val="Normal"/>
    <w:next w:val="Normal"/>
    <w:autoRedefine/>
    <w:uiPriority w:val="39"/>
    <w:unhideWhenUsed/>
    <w:rsid w:val="007225B4"/>
    <w:pPr>
      <w:tabs>
        <w:tab w:val="right" w:leader="dot" w:pos="9062"/>
      </w:tabs>
      <w:spacing w:after="100"/>
      <w:ind w:left="240"/>
    </w:pPr>
    <w:rPr>
      <w:rFonts w:ascii="Times New Roman" w:eastAsia="Calibri" w:hAnsi="Times New Roman" w:cs="Times New Roman"/>
      <w:noProof/>
      <w:color w:val="000000"/>
      <w:sz w:val="24"/>
      <w:szCs w:val="24"/>
    </w:rPr>
  </w:style>
  <w:style w:type="paragraph" w:customStyle="1" w:styleId="BodyCopy">
    <w:name w:val="Body Copy"/>
    <w:basedOn w:val="Normal"/>
    <w:qFormat/>
    <w:rsid w:val="007225B4"/>
    <w:pPr>
      <w:spacing w:after="0" w:line="240" w:lineRule="auto"/>
    </w:pPr>
    <w:rPr>
      <w:rFonts w:ascii="Times New Roman" w:eastAsia="Calibri" w:hAnsi="Times New Roman" w:cs="Times New Roman"/>
      <w:color w:val="000000"/>
      <w:spacing w:val="8"/>
      <w:sz w:val="16"/>
      <w:lang w:val="en-US"/>
    </w:rPr>
  </w:style>
  <w:style w:type="paragraph" w:styleId="BelgeBalantlar">
    <w:name w:val="Document Map"/>
    <w:basedOn w:val="Normal"/>
    <w:link w:val="BelgeBalantlarChar"/>
    <w:uiPriority w:val="99"/>
    <w:semiHidden/>
    <w:unhideWhenUsed/>
    <w:rsid w:val="007225B4"/>
    <w:pPr>
      <w:spacing w:after="0" w:line="240" w:lineRule="auto"/>
    </w:pPr>
    <w:rPr>
      <w:rFonts w:ascii="Tahoma" w:eastAsia="Calibri" w:hAnsi="Tahoma" w:cs="Tahoma"/>
      <w:color w:val="000000"/>
      <w:sz w:val="16"/>
      <w:szCs w:val="16"/>
    </w:rPr>
  </w:style>
  <w:style w:type="character" w:customStyle="1" w:styleId="BelgeBalantlarChar">
    <w:name w:val="Belge Bağlantıları Char"/>
    <w:basedOn w:val="VarsaylanParagrafYazTipi"/>
    <w:link w:val="BelgeBalantlar"/>
    <w:uiPriority w:val="99"/>
    <w:semiHidden/>
    <w:rsid w:val="007225B4"/>
    <w:rPr>
      <w:rFonts w:ascii="Tahoma" w:eastAsia="Calibri" w:hAnsi="Tahoma" w:cs="Tahoma"/>
      <w:color w:val="000000"/>
      <w:sz w:val="16"/>
      <w:szCs w:val="16"/>
    </w:rPr>
  </w:style>
  <w:style w:type="paragraph" w:styleId="T3">
    <w:name w:val="toc 3"/>
    <w:basedOn w:val="Normal"/>
    <w:next w:val="Normal"/>
    <w:autoRedefine/>
    <w:uiPriority w:val="39"/>
    <w:unhideWhenUsed/>
    <w:rsid w:val="007225B4"/>
    <w:pPr>
      <w:spacing w:after="100"/>
      <w:ind w:left="480"/>
    </w:pPr>
    <w:rPr>
      <w:rFonts w:ascii="Times New Roman" w:eastAsia="Calibri" w:hAnsi="Times New Roman" w:cs="Times New Roman"/>
      <w:color w:val="000000"/>
      <w:sz w:val="24"/>
    </w:rPr>
  </w:style>
  <w:style w:type="character" w:styleId="GlVurgulama">
    <w:name w:val="Intense Emphasis"/>
    <w:basedOn w:val="VarsaylanParagrafYazTipi"/>
    <w:uiPriority w:val="21"/>
    <w:qFormat/>
    <w:rsid w:val="007225B4"/>
    <w:rPr>
      <w:b/>
      <w:bCs/>
      <w:i/>
      <w:iCs/>
      <w:color w:val="4F81BD"/>
    </w:rPr>
  </w:style>
  <w:style w:type="character" w:customStyle="1" w:styleId="NormalWebChar">
    <w:name w:val="Normal (Web) Char"/>
    <w:basedOn w:val="VarsaylanParagrafYazTipi"/>
    <w:link w:val="NormalWeb"/>
    <w:uiPriority w:val="99"/>
    <w:rsid w:val="007225B4"/>
    <w:rPr>
      <w:rFonts w:ascii="Times New Roman" w:eastAsia="Times New Roman" w:hAnsi="Times New Roman" w:cs="Times New Roman"/>
      <w:sz w:val="24"/>
      <w:szCs w:val="24"/>
      <w:lang w:eastAsia="tr-TR"/>
    </w:rPr>
  </w:style>
  <w:style w:type="paragraph" w:styleId="AklamaKonusu">
    <w:name w:val="annotation subject"/>
    <w:basedOn w:val="AklamaMetni"/>
    <w:next w:val="AklamaMetni"/>
    <w:link w:val="AklamaKonusuChar"/>
    <w:uiPriority w:val="99"/>
    <w:semiHidden/>
    <w:unhideWhenUsed/>
    <w:rsid w:val="007225B4"/>
    <w:pPr>
      <w:spacing w:line="240" w:lineRule="auto"/>
    </w:pPr>
    <w:rPr>
      <w:rFonts w:ascii="Times New Roman" w:hAnsi="Times New Roman" w:cs="Times New Roman"/>
      <w:b/>
      <w:bCs/>
      <w:color w:val="000000"/>
    </w:rPr>
  </w:style>
  <w:style w:type="character" w:customStyle="1" w:styleId="AklamaKonusuChar">
    <w:name w:val="Açıklama Konusu Char"/>
    <w:basedOn w:val="AklamaMetniChar"/>
    <w:link w:val="AklamaKonusu"/>
    <w:uiPriority w:val="99"/>
    <w:semiHidden/>
    <w:rsid w:val="007225B4"/>
    <w:rPr>
      <w:rFonts w:ascii="Times New Roman" w:eastAsia="Calibri" w:hAnsi="Times New Roman" w:cs="Times New Roman"/>
      <w:b/>
      <w:bCs/>
      <w:color w:val="000000"/>
      <w:sz w:val="20"/>
      <w:szCs w:val="20"/>
    </w:rPr>
  </w:style>
  <w:style w:type="character" w:styleId="Vurgu">
    <w:name w:val="Emphasis"/>
    <w:basedOn w:val="VarsaylanParagrafYazTipi"/>
    <w:uiPriority w:val="20"/>
    <w:qFormat/>
    <w:rsid w:val="007225B4"/>
    <w:rPr>
      <w:i/>
      <w:iCs/>
    </w:rPr>
  </w:style>
  <w:style w:type="paragraph" w:customStyle="1" w:styleId="Altbilgi1">
    <w:name w:val="Altbilgi1"/>
    <w:basedOn w:val="Normal"/>
    <w:rsid w:val="007225B4"/>
    <w:pPr>
      <w:spacing w:before="3" w:after="3" w:line="360" w:lineRule="auto"/>
      <w:ind w:left="367" w:right="367"/>
      <w:jc w:val="center"/>
    </w:pPr>
    <w:rPr>
      <w:rFonts w:ascii="Arial" w:eastAsia="Times New Roman" w:hAnsi="Arial" w:cs="Arial"/>
      <w:b/>
      <w:bCs/>
      <w:color w:val="000000"/>
      <w:sz w:val="24"/>
      <w:szCs w:val="24"/>
      <w:lang w:eastAsia="tr-TR"/>
    </w:rPr>
  </w:style>
  <w:style w:type="paragraph" w:customStyle="1" w:styleId="KonuBal1">
    <w:name w:val="Konu Başlığı1"/>
    <w:basedOn w:val="Normal"/>
    <w:rsid w:val="007225B4"/>
    <w:pPr>
      <w:spacing w:before="100" w:beforeAutospacing="1" w:after="100" w:afterAutospacing="1" w:line="360" w:lineRule="auto"/>
      <w:ind w:left="734" w:right="734" w:firstLine="240"/>
      <w:jc w:val="both"/>
    </w:pPr>
    <w:rPr>
      <w:rFonts w:ascii="Times New Roman" w:eastAsia="Times New Roman" w:hAnsi="Times New Roman" w:cs="Times New Roman"/>
      <w:color w:val="000000"/>
      <w:sz w:val="24"/>
      <w:szCs w:val="24"/>
      <w:lang w:eastAsia="tr-TR"/>
    </w:rPr>
  </w:style>
  <w:style w:type="paragraph" w:customStyle="1" w:styleId="information">
    <w:name w:val="information"/>
    <w:basedOn w:val="Normal"/>
    <w:rsid w:val="007225B4"/>
    <w:pPr>
      <w:spacing w:before="100" w:beforeAutospacing="1" w:after="100" w:afterAutospacing="1" w:line="360" w:lineRule="auto"/>
      <w:ind w:left="734" w:right="734" w:firstLine="240"/>
      <w:jc w:val="both"/>
    </w:pPr>
    <w:rPr>
      <w:rFonts w:ascii="Times New Roman" w:eastAsia="Times New Roman" w:hAnsi="Times New Roman" w:cs="Times New Roman"/>
      <w:color w:val="000000"/>
      <w:sz w:val="24"/>
      <w:szCs w:val="24"/>
      <w:lang w:eastAsia="tr-TR"/>
    </w:rPr>
  </w:style>
  <w:style w:type="character" w:customStyle="1" w:styleId="info">
    <w:name w:val="info"/>
    <w:basedOn w:val="VarsaylanParagrafYazTipi"/>
    <w:rsid w:val="007225B4"/>
  </w:style>
  <w:style w:type="paragraph" w:customStyle="1" w:styleId="indentb">
    <w:name w:val="indentb"/>
    <w:basedOn w:val="Normal"/>
    <w:rsid w:val="007225B4"/>
    <w:pPr>
      <w:spacing w:before="100" w:beforeAutospacing="1" w:after="100" w:afterAutospacing="1" w:line="360" w:lineRule="auto"/>
      <w:ind w:left="734" w:right="734" w:firstLine="240"/>
      <w:jc w:val="both"/>
    </w:pPr>
    <w:rPr>
      <w:rFonts w:ascii="Times New Roman" w:eastAsia="Times New Roman" w:hAnsi="Times New Roman" w:cs="Times New Roman"/>
      <w:color w:val="000000"/>
      <w:sz w:val="24"/>
      <w:szCs w:val="24"/>
      <w:lang w:eastAsia="tr-TR"/>
    </w:rPr>
  </w:style>
  <w:style w:type="paragraph" w:customStyle="1" w:styleId="sig">
    <w:name w:val="sig"/>
    <w:basedOn w:val="Normal"/>
    <w:rsid w:val="007225B4"/>
    <w:pPr>
      <w:spacing w:before="100" w:beforeAutospacing="1" w:after="100" w:afterAutospacing="1" w:line="360" w:lineRule="auto"/>
      <w:ind w:left="734" w:right="734" w:firstLine="240"/>
      <w:jc w:val="both"/>
    </w:pPr>
    <w:rPr>
      <w:rFonts w:ascii="Times New Roman" w:eastAsia="Times New Roman" w:hAnsi="Times New Roman" w:cs="Times New Roman"/>
      <w:color w:val="000000"/>
      <w:sz w:val="24"/>
      <w:szCs w:val="24"/>
      <w:lang w:eastAsia="tr-TR"/>
    </w:rPr>
  </w:style>
  <w:style w:type="paragraph" w:customStyle="1" w:styleId="skip">
    <w:name w:val="skip"/>
    <w:basedOn w:val="Normal"/>
    <w:rsid w:val="007225B4"/>
    <w:pPr>
      <w:spacing w:before="100" w:beforeAutospacing="1" w:after="100" w:afterAutospacing="1" w:line="360" w:lineRule="auto"/>
      <w:ind w:left="734" w:right="734" w:firstLine="240"/>
      <w:jc w:val="both"/>
    </w:pPr>
    <w:rPr>
      <w:rFonts w:ascii="Times New Roman" w:eastAsia="Times New Roman" w:hAnsi="Times New Roman" w:cs="Times New Roman"/>
      <w:color w:val="000000"/>
      <w:sz w:val="24"/>
      <w:szCs w:val="24"/>
      <w:lang w:eastAsia="tr-TR"/>
    </w:rPr>
  </w:style>
  <w:style w:type="character" w:customStyle="1" w:styleId="btn">
    <w:name w:val="btn"/>
    <w:basedOn w:val="VarsaylanParagrafYazTipi"/>
    <w:rsid w:val="007225B4"/>
  </w:style>
  <w:style w:type="character" w:customStyle="1" w:styleId="nobold">
    <w:name w:val="nobold"/>
    <w:basedOn w:val="VarsaylanParagrafYazTipi"/>
    <w:rsid w:val="007225B4"/>
  </w:style>
  <w:style w:type="character" w:customStyle="1" w:styleId="yshortcuts1">
    <w:name w:val="yshortcuts1"/>
    <w:basedOn w:val="VarsaylanParagrafYazTipi"/>
    <w:rsid w:val="007225B4"/>
    <w:rPr>
      <w:color w:val="366388"/>
    </w:rPr>
  </w:style>
  <w:style w:type="character" w:customStyle="1" w:styleId="yshortcuts2">
    <w:name w:val="yshortcuts2"/>
    <w:basedOn w:val="VarsaylanParagrafYazTipi"/>
    <w:rsid w:val="007225B4"/>
    <w:rPr>
      <w:color w:val="366388"/>
    </w:rPr>
  </w:style>
  <w:style w:type="character" w:customStyle="1" w:styleId="yshortcuts3">
    <w:name w:val="yshortcuts3"/>
    <w:basedOn w:val="VarsaylanParagrafYazTipi"/>
    <w:rsid w:val="007225B4"/>
    <w:rPr>
      <w:color w:val="366388"/>
    </w:rPr>
  </w:style>
  <w:style w:type="character" w:customStyle="1" w:styleId="fname">
    <w:name w:val="fname"/>
    <w:basedOn w:val="VarsaylanParagrafYazTipi"/>
    <w:rsid w:val="007225B4"/>
  </w:style>
  <w:style w:type="paragraph" w:customStyle="1" w:styleId="yiv76352461msonormal">
    <w:name w:val="yiv76352461msonormal"/>
    <w:basedOn w:val="Normal"/>
    <w:rsid w:val="007225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pgroupname3">
    <w:name w:val="pp_group_name3"/>
    <w:basedOn w:val="VarsaylanParagrafYazTipi"/>
    <w:rsid w:val="007225B4"/>
  </w:style>
  <w:style w:type="character" w:customStyle="1" w:styleId="filesize">
    <w:name w:val="filesize"/>
    <w:basedOn w:val="VarsaylanParagrafYazTipi"/>
    <w:rsid w:val="007225B4"/>
  </w:style>
  <w:style w:type="paragraph" w:customStyle="1" w:styleId="xl66">
    <w:name w:val="xl66"/>
    <w:basedOn w:val="Normal"/>
    <w:rsid w:val="007225B4"/>
    <w:pPr>
      <w:spacing w:before="100" w:beforeAutospacing="1" w:after="100" w:afterAutospacing="1" w:line="240" w:lineRule="auto"/>
    </w:pPr>
    <w:rPr>
      <w:rFonts w:ascii="Arial" w:eastAsia="Times New Roman" w:hAnsi="Arial" w:cs="Arial"/>
      <w:b/>
      <w:bCs/>
      <w:color w:val="DD0806"/>
      <w:sz w:val="24"/>
      <w:szCs w:val="24"/>
      <w:lang w:eastAsia="tr-TR"/>
    </w:rPr>
  </w:style>
  <w:style w:type="paragraph" w:customStyle="1" w:styleId="xl67">
    <w:name w:val="xl67"/>
    <w:basedOn w:val="Normal"/>
    <w:rsid w:val="007225B4"/>
    <w:pPr>
      <w:spacing w:before="100" w:beforeAutospacing="1" w:after="100" w:afterAutospacing="1" w:line="240" w:lineRule="auto"/>
      <w:jc w:val="both"/>
    </w:pPr>
    <w:rPr>
      <w:rFonts w:ascii="Times New Roman" w:eastAsia="Times New Roman" w:hAnsi="Times New Roman" w:cs="Times New Roman"/>
      <w:color w:val="DD0806"/>
      <w:sz w:val="24"/>
      <w:szCs w:val="24"/>
      <w:lang w:eastAsia="tr-TR"/>
    </w:rPr>
  </w:style>
  <w:style w:type="paragraph" w:customStyle="1" w:styleId="xl68">
    <w:name w:val="xl68"/>
    <w:basedOn w:val="Normal"/>
    <w:rsid w:val="007225B4"/>
    <w:pPr>
      <w:spacing w:before="100" w:beforeAutospacing="1" w:after="100" w:afterAutospacing="1" w:line="240" w:lineRule="auto"/>
    </w:pPr>
    <w:rPr>
      <w:rFonts w:ascii="Times New Roman" w:eastAsia="Times New Roman" w:hAnsi="Times New Roman" w:cs="Times New Roman"/>
      <w:color w:val="DD0806"/>
      <w:sz w:val="24"/>
      <w:szCs w:val="24"/>
      <w:lang w:eastAsia="tr-TR"/>
    </w:rPr>
  </w:style>
  <w:style w:type="paragraph" w:customStyle="1" w:styleId="xl69">
    <w:name w:val="xl69"/>
    <w:basedOn w:val="Normal"/>
    <w:rsid w:val="007225B4"/>
    <w:pPr>
      <w:spacing w:before="100" w:beforeAutospacing="1" w:after="100" w:afterAutospacing="1" w:line="240" w:lineRule="auto"/>
    </w:pPr>
    <w:rPr>
      <w:rFonts w:ascii="Arial" w:eastAsia="Times New Roman" w:hAnsi="Arial" w:cs="Arial"/>
      <w:b/>
      <w:bCs/>
      <w:color w:val="FF0000"/>
      <w:sz w:val="24"/>
      <w:szCs w:val="24"/>
      <w:lang w:eastAsia="tr-TR"/>
    </w:rPr>
  </w:style>
  <w:style w:type="paragraph" w:customStyle="1" w:styleId="xl70">
    <w:name w:val="xl70"/>
    <w:basedOn w:val="Normal"/>
    <w:rsid w:val="007225B4"/>
    <w:pPr>
      <w:spacing w:before="100" w:beforeAutospacing="1" w:after="100" w:afterAutospacing="1" w:line="240" w:lineRule="auto"/>
    </w:pPr>
    <w:rPr>
      <w:rFonts w:ascii="Arial" w:eastAsia="Times New Roman" w:hAnsi="Arial" w:cs="Arial"/>
      <w:color w:val="FF0000"/>
      <w:sz w:val="24"/>
      <w:szCs w:val="24"/>
      <w:lang w:eastAsia="tr-TR"/>
    </w:rPr>
  </w:style>
  <w:style w:type="paragraph" w:customStyle="1" w:styleId="yiv8029559858msoplaintext">
    <w:name w:val="yiv8029559858msoplaintext"/>
    <w:basedOn w:val="Normal"/>
    <w:rsid w:val="007225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8029559858msonormal">
    <w:name w:val="yiv8029559858msonormal"/>
    <w:basedOn w:val="Normal"/>
    <w:rsid w:val="007225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c-remove-item">
    <w:name w:val="ac-remove-item"/>
    <w:basedOn w:val="VarsaylanParagrafYazTipi"/>
    <w:rsid w:val="007225B4"/>
  </w:style>
  <w:style w:type="character" w:customStyle="1" w:styleId="st1">
    <w:name w:val="st1"/>
    <w:basedOn w:val="VarsaylanParagrafYazTipi"/>
    <w:rsid w:val="0072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156291/south-london-healthcare-nh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6926</Words>
  <Characters>39479</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dc:creator>
  <cp:lastModifiedBy>SS</cp:lastModifiedBy>
  <cp:revision>2</cp:revision>
  <dcterms:created xsi:type="dcterms:W3CDTF">2013-11-26T13:35:00Z</dcterms:created>
  <dcterms:modified xsi:type="dcterms:W3CDTF">2013-11-26T13:35:00Z</dcterms:modified>
</cp:coreProperties>
</file>